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11"/>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ascii="宋体" w:hAnsi="宋体" w:eastAsia="宋体" w:cs="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购项目编号：JSZC-320200-PXGJ-G2026-0063</w:t>
      </w:r>
      <w:r/>
    </w:p>
    <w:p>
      <w:pPr>
        <w:ind w:firstLine="1500"/>
        <w:spacing w:line="360" w:lineRule="auto"/>
        <w:rPr>
          <w:rFonts w:hint="eastAsia" w:ascii="Arial" w:hAnsi="Arial"/>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rPr>
        <w:t xml:space="preserve">医院信息化建设2024项目（硬件）</w:t>
      </w:r>
      <w:r/>
    </w:p>
    <w:p>
      <w:pPr>
        <w:ind w:firstLine="1500"/>
        <w:spacing w:line="36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人：无锡市人民</w:t>
      </w:r>
      <w:r>
        <w:rPr>
          <w:rFonts w:hint="eastAsia" w:ascii="宋体" w:hAnsi="宋体" w:eastAsia="宋体" w:cs="宋体"/>
          <w:bCs/>
          <w:color w:val="auto"/>
          <w:sz w:val="30"/>
          <w:szCs w:val="30"/>
          <w:highlight w:val="none"/>
        </w:rPr>
        <w:t xml:space="preserve">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七</w:t>
      </w:r>
      <w:r>
        <w:rPr>
          <w:rFonts w:hint="eastAsia" w:ascii="宋体" w:hAnsi="宋体" w:eastAsia="宋体" w:cs="宋体"/>
          <w:bCs/>
          <w:color w:val="auto"/>
          <w:sz w:val="44"/>
          <w:szCs w:val="44"/>
          <w:highlight w:val="none"/>
        </w:rPr>
        <w:t xml:space="preserve">月</w:t>
      </w:r>
      <w:r/>
    </w:p>
    <w:p>
      <w:pPr>
        <w:spacing w:line="360" w:lineRule="auto"/>
        <w:rPr>
          <w:rStyle w:val="904"/>
          <w:rFonts w:ascii="Arial" w:hAnsi="Arial"/>
          <w:bCs/>
          <w:color w:val="auto"/>
          <w:sz w:val="48"/>
          <w:highlight w:val="none"/>
        </w:rPr>
      </w:pPr>
      <w:r>
        <w:rPr>
          <w:rFonts w:ascii="Arial" w:hAnsi="Arial"/>
          <w:bCs/>
          <w:color w:val="auto"/>
          <w:sz w:val="48"/>
          <w:highlight w:val="none"/>
        </w:rPr>
      </w:r>
      <w:r/>
    </w:p>
    <w:p>
      <w:pPr>
        <w:jc w:val="center"/>
        <w:spacing w:line="360" w:lineRule="auto"/>
        <w:rPr>
          <w:rStyle w:val="90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04"/>
          <w:rFonts w:ascii="Arial" w:hAnsi="Arial"/>
          <w:bCs/>
          <w:color w:val="auto"/>
          <w:sz w:val="48"/>
          <w:highlight w:val="none"/>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720" w:equalWidth="1"/>
          <w:docGrid w:linePitch="360"/>
          <w:titlePg/>
        </w:sectPr>
      </w:pPr>
      <w:r>
        <w:rPr>
          <w:rFonts w:ascii="Arial" w:hAnsi="Arial"/>
          <w:bCs/>
          <w:color w:val="auto"/>
          <w:sz w:val="48"/>
          <w:highlight w:val="none"/>
          <w:u w:val="none"/>
        </w:rPr>
      </w:r>
      <w:r/>
    </w:p>
    <w:p>
      <w:pPr>
        <w:jc w:val="center"/>
        <w:spacing w:line="360" w:lineRule="auto"/>
        <w:rPr>
          <w:rStyle w:val="90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04"/>
          <w:rFonts w:ascii="Arial" w:hAnsi="Arial"/>
          <w:bCs/>
          <w:color w:val="auto"/>
          <w:sz w:val="48"/>
          <w:highlight w:val="none"/>
          <w:u w:val="none"/>
        </w:rPr>
      </w:pPr>
      <w:r>
        <w:rPr>
          <w:rFonts w:ascii="Arial" w:hAnsi="Arial"/>
          <w:bCs/>
          <w:color w:val="auto"/>
          <w:sz w:val="48"/>
          <w:highlight w:val="none"/>
          <w:u w:val="none"/>
        </w:rPr>
      </w:r>
      <w:r/>
    </w:p>
    <w:p>
      <w:pPr>
        <w:pStyle w:val="121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45"/>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720"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bCs/>
          <w:color w:val="auto"/>
          <w:sz w:val="24"/>
          <w:szCs w:val="24"/>
          <w:highlight w:val="none"/>
          <w:u w:val="single"/>
        </w:rPr>
        <w:t xml:space="preserve">无锡市人民医院</w:t>
      </w:r>
      <w:r>
        <w:rPr>
          <w:rFonts w:hint="eastAsia" w:ascii="Arial" w:hAnsi="Arial"/>
          <w:bCs/>
          <w:color w:val="auto"/>
          <w:sz w:val="24"/>
          <w:szCs w:val="24"/>
          <w:highlight w:val="none"/>
        </w:rPr>
        <w:t xml:space="preserve">的委托，对</w:t>
      </w:r>
      <w:r>
        <w:rPr>
          <w:rFonts w:hint="eastAsia" w:ascii="Arial" w:hAnsi="Arial"/>
          <w:bCs/>
          <w:color w:val="auto"/>
          <w:sz w:val="24"/>
          <w:szCs w:val="24"/>
          <w:highlight w:val="none"/>
          <w:u w:val="single"/>
        </w:rPr>
        <w:t xml:space="preserve">医院信息化建设</w:t>
      </w:r>
      <w:r>
        <w:rPr>
          <w:rFonts w:hint="eastAsia" w:asciiTheme="minorEastAsia" w:hAnsiTheme="minorEastAsia" w:eastAsiaTheme="minorEastAsia" w:cstheme="minorEastAsia"/>
          <w:color w:val="auto"/>
          <w:sz w:val="24"/>
          <w:szCs w:val="24"/>
          <w:highlight w:val="none"/>
          <w:u w:val="single"/>
          <w:lang w:val="en-US" w:eastAsia="zh-CN"/>
        </w:rPr>
        <w:t xml:space="preserve">2024项目</w:t>
      </w:r>
      <w:r>
        <w:rPr>
          <w:rFonts w:hint="eastAsia" w:ascii="Arial" w:hAnsi="Arial"/>
          <w:bCs/>
          <w:color w:val="auto"/>
          <w:sz w:val="24"/>
          <w:szCs w:val="24"/>
          <w:highlight w:val="none"/>
          <w:u w:val="single"/>
        </w:rPr>
        <w:t xml:space="preserve">（硬件</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医院信息化建设2024项目（硬件）</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cs="宋体"/>
          <w:color w:val="auto"/>
          <w:sz w:val="24"/>
          <w:szCs w:val="24"/>
          <w:highlight w:val="none"/>
        </w:rPr>
        <w:t xml:space="preserve">1.项目名称：医院信息化建设</w:t>
      </w:r>
      <w:r>
        <w:rPr>
          <w:rFonts w:hint="eastAsia" w:asciiTheme="minorEastAsia" w:hAnsiTheme="minorEastAsia" w:eastAsiaTheme="minorEastAsia" w:cstheme="minorEastAsia"/>
          <w:color w:val="auto"/>
          <w:sz w:val="24"/>
          <w:szCs w:val="24"/>
          <w:highlight w:val="none"/>
          <w:lang w:val="en-US" w:eastAsia="zh-CN"/>
        </w:rPr>
        <w:t xml:space="preserve">2024项目</w:t>
      </w:r>
      <w:r>
        <w:rPr>
          <w:rFonts w:hint="eastAsia" w:ascii="Arial" w:hAnsi="Arial" w:cs="宋体"/>
          <w:color w:val="auto"/>
          <w:sz w:val="24"/>
          <w:szCs w:val="24"/>
          <w:highlight w:val="none"/>
        </w:rPr>
        <w:t xml:space="preserve">（硬件）</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：JSZC-320200-PXGJ-G2026-0063</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3.</w:t>
      </w:r>
      <w:r>
        <w:rPr>
          <w:rFonts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及最</w:t>
      </w:r>
      <w:r>
        <w:rPr>
          <w:rFonts w:hint="eastAsia" w:ascii="Arial" w:hAnsi="Arial" w:cs="宋体"/>
          <w:color w:val="auto"/>
          <w:sz w:val="24"/>
          <w:szCs w:val="24"/>
          <w:highlight w:val="none"/>
          <w:lang w:val="en-US" w:eastAsia="zh-CN"/>
        </w:rPr>
        <w:t xml:space="preserve">高限价</w:t>
      </w:r>
      <w:r>
        <w:rPr>
          <w:rFonts w:hint="eastAsia" w:ascii="Arial" w:hAnsi="Arial" w:cs="宋体"/>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368.9</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Arial" w:hAnsi="Arial" w:cs="宋体"/>
          <w:color w:val="auto"/>
          <w:sz w:val="24"/>
          <w:szCs w:val="24"/>
          <w:highlight w:val="none"/>
          <w:lang w:val="en-US" w:eastAsia="zh-CN"/>
        </w:rPr>
        <w:t xml:space="preserve">万元，报价超过最高限价的</w:t>
      </w:r>
      <w:r>
        <w:rPr>
          <w:rFonts w:hint="eastAsia" w:ascii="Arial" w:hAnsi="Arial" w:eastAsia="宋体" w:cs="宋体"/>
          <w:color w:val="auto"/>
          <w:sz w:val="24"/>
          <w:szCs w:val="24"/>
          <w:highlight w:val="none"/>
          <w:lang w:val="en-US" w:eastAsia="zh-CN"/>
        </w:rPr>
        <w:t xml:space="preserve">按无效投标文件处理。</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4</w:t>
      </w:r>
      <w:r>
        <w:rPr>
          <w:rFonts w:hint="eastAsia" w:ascii="Arial" w:hAnsi="Arial" w:cs="宋体"/>
          <w:color w:val="auto"/>
          <w:sz w:val="24"/>
          <w:szCs w:val="24"/>
          <w:highlight w:val="none"/>
        </w:rPr>
        <w:t xml:space="preserve">.采购需求：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Arial" w:hAnsi="Arial"/>
          <w:color w:val="auto"/>
          <w:sz w:val="24"/>
          <w:highlight w:val="none"/>
        </w:rPr>
        <w:t xml:space="preserve">；</w:t>
      </w:r>
      <w:r/>
    </w:p>
    <w:p>
      <w:pPr>
        <w:ind w:firstLine="480"/>
        <w:jc w:val="left"/>
        <w:spacing w:line="360" w:lineRule="auto"/>
        <w:shd w:val="clear" w:color="auto" w:fill="ffffff"/>
        <w:widowControl/>
        <w:rPr>
          <w:rFonts w:ascii="Arial" w:hAnsi="Arial" w:eastAsia="宋体"/>
          <w:color w:val="auto"/>
          <w:sz w:val="24"/>
          <w:szCs w:val="24"/>
          <w:highlight w:val="none"/>
        </w:rPr>
      </w:pPr>
      <w:r>
        <w:rPr>
          <w:rFonts w:hint="eastAsia" w:ascii="Arial" w:hAnsi="Arial" w:eastAsia="宋体" w:cs="宋体"/>
          <w:color w:val="auto"/>
          <w:sz w:val="24"/>
          <w:szCs w:val="24"/>
          <w:highlight w:val="none"/>
        </w:rPr>
        <w:t xml:space="preserve">5</w:t>
      </w:r>
      <w:r>
        <w:rPr>
          <w:rFonts w:hint="eastAsia" w:ascii="Arial" w:hAnsi="Arial" w:cs="宋体"/>
          <w:color w:val="auto"/>
          <w:sz w:val="24"/>
          <w:szCs w:val="24"/>
          <w:highlight w:val="none"/>
        </w:rPr>
        <w:t xml:space="preserve">.</w:t>
      </w:r>
      <w:r>
        <w:rPr>
          <w:rFonts w:hint="eastAsia" w:ascii="Arial" w:hAnsi="Arial" w:eastAsia="宋体"/>
          <w:color w:val="auto"/>
          <w:sz w:val="24"/>
          <w:szCs w:val="24"/>
          <w:highlight w:val="none"/>
        </w:rPr>
        <w:t xml:space="preserve">服务期限：</w:t>
      </w:r>
      <w:r>
        <w:rPr>
          <w:rFonts w:hint="eastAsia" w:asciiTheme="minorEastAsia" w:hAnsiTheme="minorEastAsia" w:eastAsiaTheme="minorEastAsia" w:cstheme="minorEastAsia"/>
          <w:color w:val="auto"/>
          <w:sz w:val="24"/>
          <w:szCs w:val="24"/>
          <w:highlight w:val="none"/>
          <w:u w:val="none"/>
          <w:lang w:val="en-US" w:eastAsia="zh-CN"/>
        </w:rPr>
        <w:t xml:space="preserve">2年</w:t>
      </w:r>
      <w:r>
        <w:rPr>
          <w:rFonts w:hint="eastAsia" w:ascii="Arial" w:hAnsi="Arial" w:eastAsia="宋体"/>
          <w:color w:val="auto"/>
          <w:sz w:val="24"/>
          <w:szCs w:val="24"/>
          <w:highlight w:val="none"/>
        </w:rPr>
        <w:t xml:space="preserve">；</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cs="宋体"/>
          <w:color w:val="auto"/>
          <w:sz w:val="24"/>
          <w:szCs w:val="24"/>
          <w:highlight w:val="none"/>
        </w:rPr>
        <w:t xml:space="preserve">.本项目标的所属行业：工业</w:t>
      </w:r>
      <w:r>
        <w:rPr>
          <w:rFonts w:hint="eastAsia" w:ascii="Arial" w:hAnsi="Arial" w:eastAsia="宋体" w:cs="宋体"/>
          <w:color w:val="auto"/>
          <w:sz w:val="24"/>
          <w:szCs w:val="24"/>
          <w:highlight w:val="none"/>
          <w:lang w:eastAsia="zh-CN"/>
        </w:rPr>
        <w:t xml:space="preserve">（</w:t>
      </w:r>
      <w:r>
        <w:rPr>
          <w:rFonts w:hint="eastAsia" w:ascii="Arial" w:hAnsi="Arial" w:eastAsia="宋体" w:cs="宋体"/>
          <w:color w:val="auto"/>
          <w:sz w:val="24"/>
          <w:szCs w:val="24"/>
          <w:highlight w:val="none"/>
          <w:lang w:val="en-US" w:eastAsia="zh-CN"/>
        </w:rPr>
        <w:t xml:space="preserve">制造业）</w:t>
      </w:r>
      <w:r>
        <w:rPr>
          <w:rFonts w:hint="eastAsia" w:ascii="Arial" w:hAnsi="Arial" w:cs="宋体"/>
          <w:color w:val="auto"/>
          <w:sz w:val="24"/>
          <w:szCs w:val="24"/>
          <w:highlight w:val="none"/>
        </w:rPr>
        <w:t xml:space="preserve">。根据《中小企业划型标准规定》工信部联企业</w:t>
      </w:r>
      <w:r>
        <w:rPr>
          <w:rFonts w:hint="eastAsia" w:ascii="Arial" w:hAnsi="Arial" w:eastAsia="宋体" w:cs="宋体"/>
          <w:color w:val="auto"/>
          <w:sz w:val="24"/>
          <w:szCs w:val="24"/>
          <w:highlight w:val="none"/>
        </w:rPr>
        <w:t xml:space="preserve">〔2011〕300号</w:t>
      </w:r>
      <w:r>
        <w:rPr>
          <w:rFonts w:hint="eastAsia" w:ascii="Arial" w:hAnsi="Arial" w:cs="宋体"/>
          <w:color w:val="auto"/>
          <w:sz w:val="24"/>
          <w:szCs w:val="24"/>
          <w:highlight w:val="none"/>
        </w:rPr>
        <w:t xml:space="preserve">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7</w:t>
      </w:r>
      <w:r>
        <w:rPr>
          <w:rFonts w:hint="eastAsia" w:ascii="Arial" w:hAnsi="Arial" w:cs="宋体"/>
          <w:color w:val="auto"/>
          <w:sz w:val="24"/>
          <w:szCs w:val="24"/>
          <w:highlight w:val="none"/>
        </w:rPr>
        <w:t xml:space="preserve">.本项目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 xml:space="preserve">联合投标。</w:t>
      </w:r>
      <w:r/>
    </w:p>
    <w:p>
      <w:pPr>
        <w:ind w:firstLine="480"/>
        <w:jc w:val="left"/>
        <w:spacing w:line="360" w:lineRule="auto"/>
        <w:shd w:val="clear" w:color="auto" w:fill="ffffff"/>
        <w:widowControl/>
        <w:rPr>
          <w:rFonts w:hint="eastAsia"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8.本项目需</w:t>
      </w:r>
      <w:r>
        <w:rPr>
          <w:rFonts w:hint="eastAsia" w:ascii="Arial" w:hAnsi="Arial" w:eastAsia="宋体" w:cs="宋体"/>
          <w:color w:val="auto"/>
          <w:sz w:val="24"/>
          <w:szCs w:val="24"/>
          <w:highlight w:val="none"/>
          <w:lang w:val="en-US" w:eastAsia="zh-CN"/>
        </w:rPr>
        <w:t xml:space="preserve">缴纳</w:t>
      </w:r>
      <w:r>
        <w:rPr>
          <w:rFonts w:hint="eastAsia" w:ascii="Arial" w:hAnsi="Arial" w:eastAsia="宋体" w:cs="宋体"/>
          <w:color w:val="auto"/>
          <w:sz w:val="24"/>
          <w:szCs w:val="24"/>
          <w:highlight w:val="none"/>
        </w:rPr>
        <w:t xml:space="preserve">履约保证金。</w:t>
      </w:r>
      <w:r/>
    </w:p>
    <w:p>
      <w:pPr>
        <w:ind w:firstLine="480"/>
        <w:jc w:val="left"/>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eastAsia="宋体" w:cs="宋体"/>
          <w:color w:val="auto"/>
          <w:sz w:val="24"/>
          <w:szCs w:val="24"/>
          <w:highlight w:val="none"/>
          <w:lang w:val="en-US" w:eastAsia="zh-CN"/>
        </w:rPr>
        <w:t xml:space="preserve">9.本项目非专门面向中小企业。</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numPr>
          <w:ilvl w:val="0"/>
          <w:numId w:val="0"/>
        </w:num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所投</w:t>
      </w:r>
      <w:r>
        <w:rPr>
          <w:rFonts w:hint="eastAsia" w:ascii="宋体" w:hAnsi="宋体" w:eastAsia="宋体"/>
          <w:color w:val="auto"/>
          <w:sz w:val="24"/>
          <w:szCs w:val="24"/>
          <w:highlight w:val="none"/>
          <w:lang w:val="en-US" w:eastAsia="zh-CN"/>
        </w:rPr>
        <w:t xml:space="preserve">的</w:t>
      </w:r>
      <w:r>
        <w:rPr>
          <w:rFonts w:ascii="宋体" w:hAnsi="宋体" w:eastAsia="宋体" w:cs="宋体"/>
          <w:color w:val="auto"/>
          <w:sz w:val="24"/>
          <w:szCs w:val="24"/>
          <w:highlight w:val="none"/>
        </w:rPr>
        <w:t xml:space="preserve">多参数生命体征采集设备、全自动台式血压计</w:t>
      </w:r>
      <w:r>
        <w:rPr>
          <w:rFonts w:hint="eastAsia" w:ascii="宋体" w:hAnsi="宋体"/>
          <w:color w:val="auto"/>
          <w:sz w:val="24"/>
          <w:szCs w:val="24"/>
          <w:highlight w:val="none"/>
        </w:rPr>
        <w:t xml:space="preserve">有效完整的医疗器械注册证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二类医疗器械）</w:t>
      </w:r>
      <w:r/>
    </w:p>
    <w:p>
      <w:pPr>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ascii="宋体" w:hAnsi="宋体" w:eastAsia="宋体" w:cs="宋体"/>
          <w:color w:val="auto"/>
          <w:sz w:val="24"/>
          <w:szCs w:val="24"/>
          <w:highlight w:val="none"/>
        </w:rPr>
        <w:t xml:space="preserve">多参数生命体征采集设备、全自动台式血压计</w:t>
      </w:r>
      <w:r>
        <w:rPr>
          <w:rFonts w:hint="eastAsia" w:ascii="宋体" w:hAnsi="宋体" w:eastAsia="宋体" w:cs="宋体"/>
          <w:color w:val="auto"/>
          <w:sz w:val="24"/>
          <w:szCs w:val="24"/>
          <w:highlight w:val="none"/>
          <w:lang w:val="en-US" w:eastAsia="zh-CN"/>
        </w:rPr>
        <w:t xml:space="preserve">的</w:t>
      </w:r>
      <w:r>
        <w:rPr>
          <w:rFonts w:hint="eastAsia" w:ascii="宋体" w:hAnsi="宋体"/>
          <w:color w:val="auto"/>
          <w:sz w:val="24"/>
          <w:szCs w:val="24"/>
          <w:highlight w:val="none"/>
        </w:rPr>
        <w:t xml:space="preserve">生产商的</w:t>
      </w:r>
      <w:r>
        <w:rPr>
          <w:rFonts w:hint="eastAsia" w:ascii="宋体" w:hAnsi="宋体" w:eastAsia="宋体"/>
          <w:color w:val="auto"/>
          <w:sz w:val="24"/>
          <w:szCs w:val="24"/>
          <w:highlight w:val="none"/>
          <w:lang w:val="en-US" w:eastAsia="zh-CN"/>
        </w:rPr>
        <w:t xml:space="preserve">有效期内的</w:t>
      </w:r>
      <w:r>
        <w:rPr>
          <w:rFonts w:hint="eastAsia" w:ascii="宋体" w:hAnsi="宋体"/>
          <w:color w:val="auto"/>
          <w:sz w:val="24"/>
          <w:szCs w:val="24"/>
          <w:highlight w:val="none"/>
        </w:rPr>
        <w:t xml:space="preserve">医疗器械生产许可证或备案凭证（医疗器械生产许可证如有医疗器械生产产品登记表的须一并提供；进口产品除外）</w:t>
      </w:r>
      <w:r/>
    </w:p>
    <w:p>
      <w:pPr>
        <w:numPr>
          <w:ilvl w:val="0"/>
          <w:numId w:val="0"/>
        </w:num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供应商</w:t>
      </w:r>
      <w:r>
        <w:rPr>
          <w:rFonts w:hint="eastAsia" w:ascii="宋体" w:hAnsi="宋体" w:eastAsia="宋体"/>
          <w:color w:val="auto"/>
          <w:sz w:val="24"/>
          <w:szCs w:val="24"/>
          <w:highlight w:val="none"/>
          <w:lang w:val="en-US" w:eastAsia="zh-CN"/>
        </w:rPr>
        <w:t xml:space="preserve">具有有效期内</w:t>
      </w:r>
      <w:r>
        <w:rPr>
          <w:rFonts w:hint="eastAsia" w:ascii="宋体" w:hAnsi="宋体"/>
          <w:color w:val="auto"/>
          <w:sz w:val="24"/>
          <w:szCs w:val="24"/>
          <w:highlight w:val="none"/>
        </w:rPr>
        <w:t xml:space="preserve">第二类医疗器械经营备案凭证</w:t>
      </w:r>
      <w:r>
        <w:rPr>
          <w:rFonts w:hint="eastAsia" w:ascii="宋体" w:hAnsi="宋体" w:eastAsia="宋体"/>
          <w:color w:val="auto"/>
          <w:sz w:val="24"/>
          <w:szCs w:val="24"/>
          <w:highlight w:val="none"/>
          <w:lang w:eastAsia="zh-CN"/>
        </w:rPr>
        <w:t xml:space="preserve">（</w:t>
      </w:r>
      <w:r>
        <w:rPr>
          <w:rFonts w:ascii="宋体" w:hAnsi="宋体" w:eastAsia="宋体" w:cs="宋体"/>
          <w:color w:val="auto"/>
          <w:sz w:val="24"/>
          <w:szCs w:val="24"/>
          <w:highlight w:val="none"/>
        </w:rPr>
        <w:t xml:space="preserve">多参数生命体征采集设备、全自动台式血压计</w:t>
      </w:r>
      <w:r>
        <w:rPr>
          <w:rFonts w:hint="eastAsia" w:ascii="宋体" w:hAnsi="宋体" w:eastAsia="宋体" w:cs="宋体"/>
          <w:color w:val="auto"/>
          <w:sz w:val="24"/>
          <w:szCs w:val="24"/>
          <w:highlight w:val="none"/>
          <w:lang w:eastAsia="zh-CN"/>
        </w:rPr>
        <w:t xml:space="preserve">），若供应商为生产商自身，且已取得对应《医疗器械生产许可证》，可凭该生产许可证替代本项经营备案凭证。</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72"/>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项目联系人：施晓旻（项目负责人）、张玲玲</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电话：13914269285、15651504035               </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名称：无锡市人民医院</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联系人：夏勇</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联系电话：0510-85351862</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联系地址：无锡市梁溪区清扬路299号</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rPr>
          <w:rFonts w:hint="eastAsia" w:ascii="Arial" w:hAnsi="Arial" w:eastAsia="宋体"/>
          <w:b/>
          <w:color w:val="auto"/>
          <w:sz w:val="24"/>
          <w:szCs w:val="24"/>
          <w:highlight w:val="none"/>
        </w:rPr>
        <w:t xml:space="preserve">若最终纸质投标文件与电子投标文件不一致，以系统中提交的电子投标文件为准。</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6938518"/>
      <w:r/>
      <w:bookmarkStart w:id="3" w:name="_Toc513029202"/>
      <w:r/>
      <w:bookmarkStart w:id="4" w:name="_Toc20823274"/>
      <w:r/>
      <w:bookmarkStart w:id="5" w:name="_Toc120614213"/>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72"/>
        <w:ind w:firstLine="452"/>
        <w:keepLines w:val="0"/>
        <w:keepNext w:val="0"/>
        <w:spacing w:before="0" w:after="0" w:line="360" w:lineRule="auto"/>
        <w:rPr>
          <w:color w:val="auto"/>
          <w:sz w:val="30"/>
          <w:szCs w:val="30"/>
          <w:highlight w:val="none"/>
          <w:lang w:eastAsia="zh-CN"/>
        </w:rPr>
      </w:pPr>
      <w:r/>
      <w:bookmarkStart w:id="6" w:name="_Toc16938519"/>
      <w:r/>
      <w:bookmarkStart w:id="7" w:name="_Toc513029203"/>
      <w:r/>
      <w:bookmarkStart w:id="8" w:name="_Toc120614214"/>
      <w:r/>
      <w:bookmarkStart w:id="9" w:name="_Toc20823275"/>
      <w:r>
        <w:rPr>
          <w:rFonts w:hint="eastAsia"/>
          <w:color w:val="auto"/>
          <w:sz w:val="30"/>
          <w:szCs w:val="30"/>
          <w:highlight w:val="none"/>
          <w:lang w:eastAsia="zh-CN"/>
        </w:rPr>
        <w:t xml:space="preserve">一、总则</w:t>
      </w:r>
      <w:bookmarkEnd w:id="6"/>
      <w:r/>
      <w:bookmarkEnd w:id="7"/>
      <w:r/>
      <w:bookmarkEnd w:id="8"/>
      <w:r/>
      <w:bookmarkEnd w:id="9"/>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513029204"/>
      <w:r/>
      <w:bookmarkStart w:id="12" w:name="_Toc16938520"/>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4" w:name="_Toc513029205"/>
      <w:r/>
      <w:bookmarkStart w:id="15" w:name="_Toc16938521"/>
      <w:r/>
      <w:bookmarkStart w:id="16" w:name="_Toc20823277"/>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16938522"/>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20" w:name="_Toc513029207"/>
      <w:r/>
      <w:bookmarkStart w:id="21" w:name="_Toc20823279"/>
      <w:r/>
      <w:bookmarkStart w:id="22" w:name="_Toc462564067"/>
      <w:r/>
      <w:bookmarkStart w:id="23" w:name="_Toc16938523"/>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4.2根据采购人与采购代理机构签署的代理协议中明确规定本项目采购代理服务费由中标人支付，投标单位的投标报价须足额包含该笔费用。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采购代理服务费公式：（100*1.5%+</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中标价-100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0.6</w:t>
      </w:r>
      <w:r>
        <w:rPr>
          <w:rFonts w:hint="eastAsia" w:ascii="宋体" w:hAnsi="宋体"/>
          <w:color w:val="auto"/>
          <w:sz w:val="24"/>
          <w:highlight w:val="none"/>
        </w:rPr>
        <w:t xml:space="preserve">（单位：万元）</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72"/>
        <w:ind w:firstLine="452"/>
        <w:keepLines w:val="0"/>
        <w:keepNext w:val="0"/>
        <w:spacing w:before="0" w:after="0" w:line="360" w:lineRule="auto"/>
        <w:rPr>
          <w:color w:val="auto"/>
          <w:sz w:val="30"/>
          <w:szCs w:val="30"/>
          <w:highlight w:val="none"/>
          <w:lang w:eastAsia="zh-CN"/>
        </w:rPr>
      </w:pPr>
      <w:r/>
      <w:bookmarkStart w:id="24" w:name="_Toc120614215"/>
      <w:r/>
      <w:bookmarkStart w:id="25" w:name="_Toc513029209"/>
      <w:r/>
      <w:bookmarkStart w:id="26" w:name="_Toc16938525"/>
      <w:r/>
      <w:bookmarkStart w:id="27" w:name="_Toc20823281"/>
      <w:r>
        <w:rPr>
          <w:rFonts w:hint="eastAsia"/>
          <w:color w:val="auto"/>
          <w:sz w:val="30"/>
          <w:szCs w:val="30"/>
          <w:highlight w:val="none"/>
          <w:lang w:eastAsia="zh-CN"/>
        </w:rPr>
        <w:t xml:space="preserve">二、招标文件</w:t>
      </w:r>
      <w:bookmarkEnd w:id="24"/>
      <w:r/>
      <w:bookmarkEnd w:id="25"/>
      <w:r/>
      <w:bookmarkEnd w:id="26"/>
      <w:r/>
      <w:bookmarkEnd w:id="27"/>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28" w:name="_Toc513029210"/>
      <w:r/>
      <w:bookmarkStart w:id="29" w:name="_Toc20823282"/>
      <w:r/>
      <w:bookmarkStart w:id="30" w:name="_Toc16938526"/>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31" w:name="_Toc16938527"/>
      <w:r/>
      <w:bookmarkStart w:id="32" w:name="_Toc20823283"/>
      <w:r/>
      <w:bookmarkStart w:id="33" w:name="_Toc462564070"/>
      <w:r/>
      <w:bookmarkStart w:id="34" w:name="_Toc513029211"/>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35" w:name="_Toc20823284"/>
      <w:r/>
      <w:bookmarkStart w:id="36" w:name="_Toc513029212"/>
      <w:r/>
      <w:bookmarkStart w:id="37" w:name="_Toc462564071"/>
      <w:r/>
      <w:bookmarkStart w:id="38" w:name="_Toc16938528"/>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72"/>
        <w:ind w:firstLine="452"/>
        <w:keepLines w:val="0"/>
        <w:keepNext w:val="0"/>
        <w:spacing w:before="0" w:after="0" w:line="360" w:lineRule="auto"/>
        <w:rPr>
          <w:color w:val="auto"/>
          <w:sz w:val="30"/>
          <w:szCs w:val="30"/>
          <w:highlight w:val="none"/>
          <w:lang w:eastAsia="zh-CN"/>
        </w:rPr>
      </w:pPr>
      <w:r/>
      <w:bookmarkStart w:id="39" w:name="_Toc513029213"/>
      <w:r/>
      <w:bookmarkStart w:id="40" w:name="_Toc16938529"/>
      <w:r/>
      <w:bookmarkStart w:id="41" w:name="_Toc120614216"/>
      <w:r/>
      <w:bookmarkStart w:id="42" w:name="_Toc20823285"/>
      <w:r/>
      <w:bookmarkStart w:id="43" w:name="_Toc462564072"/>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44" w:name="_Toc16938530"/>
      <w:r/>
      <w:bookmarkStart w:id="45" w:name="_Toc513029214"/>
      <w:r/>
      <w:bookmarkStart w:id="46" w:name="_Toc20823286"/>
      <w:r/>
      <w:bookmarkStart w:id="47" w:name="_Toc462564073"/>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48" w:name="_Toc513029215"/>
      <w:r/>
      <w:bookmarkStart w:id="49" w:name="_Toc20823287"/>
      <w:r/>
      <w:bookmarkStart w:id="50" w:name="_Toc16938531"/>
      <w:r/>
      <w:bookmarkStart w:id="51" w:name="_Toc462564074"/>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auto"/>
          <w:sz w:val="24"/>
          <w:highlight w:val="none"/>
          <w:u w:val="single"/>
        </w:rPr>
      </w:pPr>
      <w:r/>
      <w:bookmarkStart w:id="52" w:name="_Hlt26670360"/>
      <w:r/>
      <w:bookmarkEnd w:id="52"/>
      <w:r/>
      <w:bookmarkStart w:id="53" w:name="_Hlt26954838"/>
      <w:r/>
      <w:bookmarkEnd w:id="53"/>
      <w:r/>
      <w:bookmarkStart w:id="54" w:name="_Hlt26668975"/>
      <w:r/>
      <w:bookmarkEnd w:id="54"/>
      <w:r/>
      <w:bookmarkStart w:id="55" w:name="_Toc14577357"/>
      <w:r/>
      <w:bookmarkStart w:id="56" w:name="_Toc49090509"/>
      <w:r/>
      <w:bookmarkStart w:id="57" w:name="_Toc513029219"/>
      <w:r/>
      <w:bookmarkStart w:id="58" w:name="_Toc49090507"/>
      <w:r/>
      <w:bookmarkStart w:id="59" w:name="_Toc14577354"/>
      <w:r/>
      <w:bookmarkStart w:id="60" w:name="_Toc513029216"/>
      <w:r>
        <w:rPr>
          <w:rFonts w:hint="eastAsia" w:ascii="宋体" w:hAnsi="宋体" w:eastAsia="宋体" w:cs="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color w:val="auto"/>
          <w:highlight w:val="none"/>
        </w:rPr>
      </w:pPr>
      <w:r>
        <w:rPr>
          <w:rFonts w:hint="eastAsia" w:ascii="宋体" w:hAnsi="宋体" w:eastAsia="宋体" w:cs="宋体"/>
          <w:b/>
          <w:color w:val="auto"/>
          <w:sz w:val="24"/>
          <w:szCs w:val="24"/>
          <w:highlight w:val="none"/>
        </w:rPr>
        <w:t xml:space="preserve">10.5暗标排版要求：（含标题等所有文字）字体为黑色、小四号宋体，不得出现手写，不得设置页眉，页脚，页码；如有表格，表格中字体用宋体字，字号不作限制。如有图片可为彩色，图片不得出现能显示企业特征或其他提示性的标记或标识。</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bookmarkEnd w:id="59"/>
      <w:bookmarkEnd w:id="60"/>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67" w:name="_Hlt26668983"/>
      <w:r/>
      <w:bookmarkEnd w:id="67"/>
      <w:r/>
      <w:bookmarkStart w:id="68" w:name="_Hlt26670482"/>
      <w:r/>
      <w:bookmarkEnd w:id="68"/>
      <w:r/>
      <w:bookmarkStart w:id="69" w:name="_Hlt26954844"/>
      <w:r/>
      <w:bookmarkEnd w:id="69"/>
      <w:r/>
      <w:bookmarkStart w:id="70" w:name="_Hlt26670425"/>
      <w:r/>
      <w:bookmarkEnd w:id="70"/>
      <w:r/>
      <w:bookmarkStart w:id="71" w:name="_Hlt26670403"/>
      <w:r/>
      <w:bookmarkEnd w:id="71"/>
      <w:r/>
      <w:bookmarkStart w:id="72" w:name="_Hlt26954846"/>
      <w:r/>
      <w:bookmarkEnd w:id="72"/>
      <w:r/>
      <w:bookmarkStart w:id="73" w:name="_Hlt26954842"/>
      <w:r/>
      <w:bookmarkEnd w:id="73"/>
      <w:r/>
      <w:bookmarkStart w:id="74" w:name="_Hlt26954731"/>
      <w:r/>
      <w:bookmarkEnd w:id="74"/>
      <w:r/>
      <w:bookmarkStart w:id="75" w:name="_Hlt26954848"/>
      <w:r/>
      <w:bookmarkEnd w:id="75"/>
      <w:r/>
      <w:bookmarkStart w:id="76" w:name="_Hlt2667048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77" w:name="_Hlt26670489"/>
      <w:r/>
      <w:bookmarkEnd w:id="77"/>
      <w:r/>
      <w:bookmarkStart w:id="78" w:name="_Hlt26954850"/>
      <w:r/>
      <w:bookmarkEnd w:id="78"/>
      <w:r/>
      <w:bookmarkStart w:id="79" w:name="_Hlt26954734"/>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72"/>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16938540"/>
      <w:r/>
      <w:bookmarkStart w:id="85" w:name="_Toc513029224"/>
      <w:r/>
      <w:bookmarkStart w:id="86" w:name="_Toc20823296"/>
      <w:r/>
      <w:bookmarkStart w:id="87" w:name="_Toc120614217"/>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88" w:name="_Toc513029225"/>
      <w:r/>
      <w:bookmarkStart w:id="89" w:name="_Toc20823297"/>
      <w:r/>
      <w:bookmarkStart w:id="90" w:name="_Toc462564084"/>
      <w:r/>
      <w:bookmarkStart w:id="91" w:name="_Toc16938541"/>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25"/>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513029226"/>
      <w:r/>
      <w:bookmarkStart w:id="93" w:name="_Toc16938542"/>
      <w:r/>
      <w:bookmarkStart w:id="94" w:name="_Toc20823298"/>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95" w:name="_Toc513029227"/>
      <w:r/>
      <w:bookmarkStart w:id="96" w:name="_Toc16938543"/>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20823300"/>
      <w:r/>
      <w:bookmarkStart w:id="100" w:name="_Toc16938544"/>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72"/>
        <w:ind w:firstLine="452"/>
        <w:keepLines w:val="0"/>
        <w:keepNext w:val="0"/>
        <w:spacing w:before="0" w:after="0" w:line="360" w:lineRule="auto"/>
        <w:rPr>
          <w:color w:val="auto"/>
          <w:sz w:val="30"/>
          <w:szCs w:val="30"/>
          <w:highlight w:val="none"/>
          <w:lang w:eastAsia="zh-CN"/>
        </w:rPr>
      </w:pPr>
      <w:r/>
      <w:bookmarkStart w:id="101" w:name="_Toc513029229"/>
      <w:r/>
      <w:bookmarkStart w:id="102" w:name="_Toc16938545"/>
      <w:r/>
      <w:bookmarkStart w:id="103" w:name="_Toc20823301"/>
      <w:r/>
      <w:bookmarkStart w:id="104" w:name="_Toc120614218"/>
      <w:r>
        <w:rPr>
          <w:rFonts w:hint="eastAsia"/>
          <w:color w:val="auto"/>
          <w:sz w:val="30"/>
          <w:szCs w:val="30"/>
          <w:highlight w:val="none"/>
          <w:lang w:eastAsia="zh-CN"/>
        </w:rPr>
        <w:t xml:space="preserve">五、开标与评标</w:t>
      </w:r>
      <w:bookmarkEnd w:id="101"/>
      <w:r/>
      <w:bookmarkEnd w:id="102"/>
      <w:r/>
      <w:bookmarkEnd w:id="103"/>
      <w:r/>
      <w:bookmarkEnd w:id="104"/>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05" w:name="_Toc513029230"/>
      <w:r/>
      <w:bookmarkStart w:id="106" w:name="_Toc20823302"/>
      <w:r/>
      <w:bookmarkStart w:id="107" w:name="_Toc16938546"/>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11" w:name="_Toc513029232"/>
      <w:r/>
      <w:bookmarkStart w:id="112" w:name="_Toc16938548"/>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14" w:name="_Toc16938549"/>
      <w:r/>
      <w:bookmarkStart w:id="115" w:name="_Toc513029233"/>
      <w:r/>
      <w:bookmarkStart w:id="116" w:name="_Toc20823305"/>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16938550"/>
      <w:r/>
      <w:bookmarkStart w:id="118" w:name="_Toc513029234"/>
      <w:r/>
      <w:bookmarkStart w:id="119"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 xml:space="preserve">1.投标（响应）报价低于全部通过符合性审查供应商投标（响应）报价平均值50%的，即投标（响应）报价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3.投标（响应）报价低于采购项目最高限价45%的，即投标（响应）报价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513029235"/>
      <w:r/>
      <w:bookmarkStart w:id="121" w:name="_Toc20823307"/>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b/>
          <w:color w:val="auto"/>
          <w:sz w:val="24"/>
          <w:highlight w:val="none"/>
        </w:rPr>
        <w:t xml:space="preserve">26.6暗标未按要求编制，编制粗糙、格式混乱、条理不清的；</w:t>
      </w:r>
      <w:r/>
    </w:p>
    <w:p>
      <w:pPr>
        <w:pStyle w:val="972"/>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2"/>
        <w:ind w:firstLine="452"/>
        <w:keepLines w:val="0"/>
        <w:keepNext w:val="0"/>
        <w:spacing w:before="0" w:after="0" w:line="360" w:lineRule="auto"/>
        <w:rPr>
          <w:color w:val="auto"/>
          <w:sz w:val="30"/>
          <w:szCs w:val="30"/>
          <w:highlight w:val="none"/>
          <w:lang w:eastAsia="zh-CN"/>
        </w:rPr>
      </w:pPr>
      <w:r/>
      <w:bookmarkStart w:id="128" w:name="_Toc120614220"/>
      <w:r/>
      <w:bookmarkStart w:id="129" w:name="_Toc513029236"/>
      <w:r/>
      <w:bookmarkStart w:id="130" w:name="_Toc16938552"/>
      <w:r/>
      <w:bookmarkStart w:id="131" w:name="_Toc20823308"/>
      <w:r>
        <w:rPr>
          <w:rFonts w:hint="eastAsia"/>
          <w:color w:val="auto"/>
          <w:sz w:val="30"/>
          <w:szCs w:val="30"/>
          <w:highlight w:val="none"/>
          <w:lang w:eastAsia="zh-CN"/>
        </w:rPr>
        <w:t xml:space="preserve">七、授予合同</w:t>
      </w:r>
      <w:bookmarkEnd w:id="128"/>
      <w:r/>
      <w:bookmarkEnd w:id="129"/>
      <w:bookmarkEnd w:id="130"/>
      <w:bookmarkEnd w:id="131"/>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32" w:name="_Toc20823309"/>
      <w:r/>
      <w:bookmarkStart w:id="133" w:name="_Toc513029237"/>
      <w:r/>
      <w:bookmarkStart w:id="134"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38"/>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38"/>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38"/>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bookmarkEnd w:id="133"/>
      <w:bookmarkEnd w:id="134"/>
      <w:r/>
    </w:p>
    <w:p>
      <w:pPr>
        <w:pStyle w:val="1138"/>
        <w:ind w:firstLine="0"/>
        <w:spacing w:line="360" w:lineRule="auto"/>
        <w:rPr>
          <w:rFonts w:ascii="黑体" w:eastAsia="黑体"/>
          <w:bCs/>
          <w:color w:val="auto"/>
          <w:sz w:val="36"/>
          <w:szCs w:val="36"/>
          <w:highlight w:val="none"/>
          <w:lang w:eastAsia="zh-CN"/>
        </w:rPr>
      </w:pPr>
      <w:r/>
      <w:bookmarkStart w:id="135" w:name="_Toc479757207"/>
      <w:r/>
      <w:bookmarkStart w:id="136" w:name="_Toc120614221"/>
      <w:r/>
      <w:bookmarkStart w:id="137" w:name="_Toc513029242"/>
      <w:r/>
      <w:bookmarkStart w:id="138" w:name="_Toc16938558"/>
      <w:r/>
      <w:bookmarkStart w:id="139" w:name="_Toc20823314"/>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bookmarkEnd w:id="136"/>
      <w:bookmarkEnd w:id="137"/>
      <w:bookmarkEnd w:id="138"/>
      <w:bookmarkEnd w:id="139"/>
      <w:r/>
    </w:p>
    <w:p>
      <w:pPr>
        <w:pStyle w:val="1138"/>
        <w:numPr>
          <w:ilvl w:val="0"/>
          <w:numId w:val="8"/>
        </w:numPr>
        <w:ind w:firstLine="0"/>
        <w:jc w:val="center"/>
        <w:spacing w:line="360" w:lineRule="auto"/>
        <w:rPr>
          <w:rFonts w:ascii="黑体" w:eastAsia="黑体"/>
          <w:bCs/>
          <w:color w:val="auto"/>
          <w:sz w:val="36"/>
          <w:szCs w:val="36"/>
          <w:highlight w:val="none"/>
          <w:lang w:eastAsia="zh-CN"/>
        </w:rPr>
      </w:pPr>
      <w:r/>
      <w:bookmarkStart w:id="140" w:name="_Toc16938559"/>
      <w:r/>
      <w:bookmarkStart w:id="141" w:name="_Toc20823315"/>
      <w:r/>
      <w:bookmarkStart w:id="142" w:name="_Toc513029243"/>
      <w:r>
        <w:rPr>
          <w:rFonts w:hint="eastAsia" w:ascii="黑体" w:eastAsia="黑体"/>
          <w:bCs/>
          <w:color w:val="auto"/>
          <w:sz w:val="36"/>
          <w:szCs w:val="36"/>
          <w:highlight w:val="none"/>
          <w:lang w:eastAsia="zh-CN"/>
        </w:rPr>
        <w:t xml:space="preserve"> 合同文本</w:t>
      </w:r>
      <w:r/>
    </w:p>
    <w:p>
      <w:pPr>
        <w:pStyle w:val="1135"/>
        <w:numPr>
          <w:ilvl w:val="0"/>
          <w:numId w:val="0"/>
        </w:numPr>
        <w:jc w:val="center"/>
        <w:rPr>
          <w:rFonts w:ascii="黑体" w:eastAsia="黑体"/>
          <w:bCs/>
          <w:color w:val="auto"/>
          <w:sz w:val="36"/>
          <w:szCs w:val="36"/>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格式</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投标时不需填写）</w:t>
      </w:r>
      <w:bookmarkEnd w:id="140"/>
      <w:bookmarkEnd w:id="141"/>
      <w:bookmarkEnd w:id="142"/>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43" w:name="_Hlt16619350"/>
      <w:r/>
      <w:bookmarkStart w:id="144" w:name="_Toc20823346"/>
      <w:r/>
      <w:bookmarkStart w:id="145" w:name="_Toc120614244"/>
      <w:r/>
      <w:bookmarkStart w:id="146" w:name="_Toc16938590"/>
      <w:r>
        <w:rPr>
          <w:rFonts w:hint="eastAsia" w:ascii="宋体" w:hAnsi="宋体" w:eastAsia="宋体" w:cs="宋体"/>
          <w:b/>
          <w:color w:val="auto"/>
          <w:sz w:val="24"/>
          <w:szCs w:val="24"/>
          <w:highlight w:val="none"/>
        </w:rPr>
        <w:t xml:space="preserve">根据《中华人民共和国政府采购法》及相关法规、《中华人民共和国民法典》，遵循平等、自愿、公平和诚实信用的原则，</w:t>
      </w:r>
      <w:r>
        <w:rPr>
          <w:rFonts w:hint="eastAsia" w:ascii="宋体" w:hAnsi="宋体" w:eastAsia="宋体" w:cs="宋体"/>
          <w:b/>
          <w:color w:val="auto"/>
          <w:sz w:val="24"/>
          <w:szCs w:val="24"/>
          <w:highlight w:val="none"/>
          <w:lang w:val="en-US" w:eastAsia="zh-CN"/>
        </w:rPr>
        <w:t xml:space="preserve">甲乙</w:t>
      </w:r>
      <w:r>
        <w:rPr>
          <w:rFonts w:hint="eastAsia" w:ascii="宋体" w:hAnsi="宋体" w:eastAsia="宋体" w:cs="宋体"/>
          <w:b/>
          <w:color w:val="auto"/>
          <w:sz w:val="24"/>
          <w:szCs w:val="24"/>
          <w:highlight w:val="none"/>
        </w:rPr>
        <w:t xml:space="preserve">双方就</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）采购及有关事项协商一致，共同达成如下协议：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签约地点：无锡市人民医院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甲方（买方）：无锡市人民医院         乙方（卖方）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地址：江苏省无锡市清扬路299号      地址：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电话：0510-82700778                 电话：</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传真：</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                              邮箱：</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1、设备及价款：</w:t>
      </w:r>
      <w:r/>
    </w:p>
    <w:tbl>
      <w:tblPr>
        <w:tblStyle w:val="822"/>
        <w:tblW w:w="9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430"/>
        <w:gridCol w:w="1220"/>
        <w:gridCol w:w="1310"/>
        <w:gridCol w:w="960"/>
        <w:gridCol w:w="960"/>
        <w:gridCol w:w="960"/>
        <w:gridCol w:w="1230"/>
      </w:tblGrid>
      <w:tr>
        <w:trPr>
          <w:jc w:val="center"/>
          <w:trHeight w:val="860"/>
        </w:trPr>
        <w:tc>
          <w:tcPr>
            <w:tcBorders>
              <w:top w:val="single" w:color="auto" w:sz="4" w:space="0"/>
              <w:left w:val="single" w:color="auto" w:sz="4" w:space="0"/>
              <w:bottom w:val="single" w:color="auto" w:sz="4" w:space="0"/>
              <w:right w:val="single" w:color="000000" w:sz="8"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tcBorders>
              <w:top w:val="single" w:color="auto" w:sz="4" w:space="0"/>
              <w:left w:val="single" w:color="000000" w:sz="8" w:space="0"/>
              <w:bottom w:val="single" w:color="auto" w:sz="4" w:space="0"/>
              <w:right w:val="single" w:color="000000" w:sz="8" w:space="0"/>
            </w:tcBorders>
            <w:tcW w:w="14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牌号商标</w:t>
            </w:r>
            <w:r/>
          </w:p>
        </w:tc>
        <w:tc>
          <w:tcPr>
            <w:tcBorders>
              <w:top w:val="single" w:color="auto" w:sz="4" w:space="0"/>
              <w:left w:val="single" w:color="000000" w:sz="8" w:space="0"/>
              <w:bottom w:val="single" w:color="auto" w:sz="4" w:space="0"/>
              <w:right w:val="single" w:color="000000" w:sz="8" w:space="0"/>
            </w:tcBorders>
            <w:tcW w:w="12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w:t>
            </w:r>
            <w:r/>
          </w:p>
        </w:tc>
        <w:tc>
          <w:tcPr>
            <w:tcBorders>
              <w:top w:val="single" w:color="auto" w:sz="4" w:space="0"/>
              <w:left w:val="single" w:color="000000" w:sz="8" w:space="0"/>
              <w:bottom w:val="single" w:color="auto" w:sz="4" w:space="0"/>
              <w:right w:val="single" w:color="000000" w:sz="8" w:space="0"/>
            </w:tcBorders>
            <w:tcW w:w="13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生产厂家</w:t>
            </w:r>
            <w:r/>
          </w:p>
        </w:tc>
        <w:tc>
          <w:tcPr>
            <w:tcBorders>
              <w:top w:val="single" w:color="auto" w:sz="4" w:space="0"/>
              <w:left w:val="single" w:color="000000" w:sz="8" w:space="0"/>
              <w:bottom w:val="single" w:color="auto" w:sz="4"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auto" w:sz="4" w:space="0"/>
              <w:left w:val="single" w:color="000000" w:sz="8" w:space="0"/>
              <w:bottom w:val="single" w:color="auto" w:sz="4"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auto" w:sz="4" w:space="0"/>
              <w:left w:val="single" w:color="000000" w:sz="8" w:space="0"/>
              <w:bottom w:val="single" w:color="auto" w:sz="4"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tcBorders>
              <w:top w:val="single" w:color="auto" w:sz="4" w:space="0"/>
              <w:left w:val="single" w:color="000000" w:sz="8" w:space="0"/>
              <w:bottom w:val="single" w:color="auto"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r>
      <w:tr>
        <w:trPr>
          <w:jc w:val="center"/>
          <w:trHeight w:val="958"/>
        </w:trPr>
        <w:tc>
          <w:tcPr>
            <w:tcBorders>
              <w:top w:val="single" w:color="auto" w:sz="4" w:space="0"/>
              <w:left w:val="single" w:color="000000" w:sz="8" w:space="0"/>
              <w:bottom w:val="single" w:color="000000" w:sz="8" w:space="0"/>
              <w:right w:val="single" w:color="000000" w:sz="8" w:space="0"/>
            </w:tcBorders>
            <w:tcW w:w="12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43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2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3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23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0"/>
        </w:trPr>
        <w:tc>
          <w:tcPr>
            <w:gridSpan w:val="8"/>
            <w:tcBorders>
              <w:top w:val="none" w:color="000000" w:sz="4" w:space="0"/>
              <w:left w:val="single" w:color="000000" w:sz="8" w:space="0"/>
              <w:bottom w:val="single" w:color="000000" w:sz="8" w:space="0"/>
              <w:right w:val="single" w:color="000000" w:sz="8" w:space="0"/>
            </w:tcBorders>
            <w:tcW w:w="93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合计金额（大写）：**元整</w:t>
            </w:r>
            <w:r/>
          </w:p>
        </w:tc>
      </w:tr>
    </w:tbl>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上述价款含运费、保险费。</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2、到货时间：</w:t>
      </w:r>
      <w:r>
        <w:rPr>
          <w:rFonts w:hint="eastAsia" w:ascii="宋体" w:hAnsi="宋体" w:eastAsia="宋体" w:cs="宋体"/>
          <w:color w:val="auto"/>
          <w:sz w:val="24"/>
          <w:szCs w:val="24"/>
          <w:highlight w:val="none"/>
        </w:rPr>
        <w:t xml:space="preserve">为项目合同签订后的5个月。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3、装运目的地： </w:t>
      </w:r>
      <w:r>
        <w:rPr>
          <w:rFonts w:hint="eastAsia" w:ascii="宋体" w:hAnsi="宋体" w:eastAsia="宋体" w:cs="宋体"/>
          <w:color w:val="auto"/>
          <w:sz w:val="24"/>
          <w:szCs w:val="24"/>
          <w:highlight w:val="none"/>
        </w:rPr>
        <w:t xml:space="preserve">无锡市人民医院指定地点。</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4、质量保证：</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①乙方负责设备的免费安装、调试、培训等服务。设备安装、调试时间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天内，如乙方原因造成的调试时间延迟，乙方按合同款1%/天向甲方交纳滞纳金。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②对于本项目涉及的硬件设备，所有交付设备自竣工验收合格之日起提供五年免费质保服务，在质保服务期内，免费更换保修需要的所有</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及需要定期更换的耗品，包含所有人工及保养，对于上述硬件设备自带的微系统，</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应同步提供相应的调试、测试和维保服务。</w:t>
      </w:r>
      <w:r/>
    </w:p>
    <w:p>
      <w:pPr>
        <w:numPr>
          <w:ilvl w:val="0"/>
          <w:numId w:val="9"/>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自系统交付使用后，须指定专门运维人员，进行系统日常维护并随时响应甲方维护需求，如产品存在缺陷和漏洞的，须对相关问题提供免费技术维护和升级服务。</w:t>
      </w:r>
      <w:r/>
    </w:p>
    <w:p>
      <w:pPr>
        <w:numPr>
          <w:ilvl w:val="0"/>
          <w:numId w:val="9"/>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承诺7×24小时电话、远程响应及现场服务响应，0.5小时内做出明确响应安排，4小时内排除故障或采用应急替代方案。在远程支持难以满足服务要求需现场服务的，具有解决故障能力的工程师应在2小时内到达现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c.及时提供设备附件及各类配件详细报价清单并列明各类配件的替代性，若为不可替代的专用产品，需特别标注并承诺价格浮动上限。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双方约定按照国家技术质量检验标准实施验收。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设备在安装或投入使用中未达到标书中的参数要求，乙方需全额退款并赔偿。</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5、付款方式</w:t>
      </w:r>
      <w:r>
        <w:rPr>
          <w:rFonts w:hint="eastAsia" w:ascii="宋体" w:hAnsi="宋体" w:eastAsia="宋体" w:cs="宋体"/>
          <w:b/>
          <w:color w:val="auto"/>
          <w:sz w:val="24"/>
          <w:szCs w:val="24"/>
          <w:highlight w:val="none"/>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合同签订生效后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支付合同总额的30%作为首付款；初验合格后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个工作日内，支付合同总额的40%；终验合格后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个工作日内，支付合同总额的30%。</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6、包装：</w:t>
      </w:r>
      <w:r>
        <w:rPr>
          <w:rFonts w:hint="eastAsia" w:ascii="宋体" w:hAnsi="宋体" w:eastAsia="宋体" w:cs="宋体"/>
          <w:color w:val="auto"/>
          <w:sz w:val="24"/>
          <w:szCs w:val="24"/>
          <w:highlight w:val="none"/>
        </w:rPr>
        <w:t xml:space="preserve">按买方确认的标准货物包装。</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7、违约责任</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①在合同期及设备保修期内，乙方出现下列情况的，需向甲方支付合同总价1%/天的违约金。同时乙方同意上述违约金，甲方可以在支付货款时予以全额扣除，乙方不作任何异议。</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a.</w:t>
      </w:r>
      <w:r>
        <w:rPr>
          <w:rFonts w:hint="eastAsia" w:ascii="宋体" w:hAnsi="宋体" w:eastAsia="宋体" w:cs="宋体"/>
          <w:b w:val="0"/>
          <w:bCs/>
          <w:color w:val="auto"/>
          <w:sz w:val="24"/>
          <w:szCs w:val="24"/>
          <w:highlight w:val="none"/>
        </w:rPr>
        <w:t xml:space="preserve">乙方逾期交货的；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b.</w:t>
      </w:r>
      <w:r>
        <w:rPr>
          <w:rFonts w:hint="eastAsia" w:ascii="宋体" w:hAnsi="宋体" w:eastAsia="宋体" w:cs="宋体"/>
          <w:b w:val="0"/>
          <w:bCs/>
          <w:color w:val="auto"/>
          <w:sz w:val="24"/>
          <w:szCs w:val="24"/>
          <w:highlight w:val="none"/>
        </w:rPr>
        <w:t xml:space="preserve">乙方逾期调试完毕的；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c.</w:t>
      </w:r>
      <w:r>
        <w:rPr>
          <w:rFonts w:hint="eastAsia" w:ascii="宋体" w:hAnsi="宋体" w:eastAsia="宋体" w:cs="宋体"/>
          <w:b w:val="0"/>
          <w:bCs/>
          <w:color w:val="auto"/>
          <w:sz w:val="24"/>
          <w:szCs w:val="24"/>
          <w:highlight w:val="none"/>
        </w:rPr>
        <w:t xml:space="preserve">乙方设备未达到保证的正常使用率的；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d.</w:t>
      </w:r>
      <w:r>
        <w:rPr>
          <w:rFonts w:hint="eastAsia" w:ascii="宋体" w:hAnsi="宋体" w:eastAsia="宋体" w:cs="宋体"/>
          <w:b w:val="0"/>
          <w:bCs/>
          <w:color w:val="auto"/>
          <w:sz w:val="24"/>
          <w:szCs w:val="24"/>
          <w:highlight w:val="none"/>
        </w:rPr>
        <w:t xml:space="preserve">乙方未按照要求在规定时间内维修完成的；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e.</w:t>
      </w:r>
      <w:r>
        <w:rPr>
          <w:rFonts w:hint="eastAsia" w:ascii="宋体" w:hAnsi="宋体" w:eastAsia="宋体" w:cs="宋体"/>
          <w:b w:val="0"/>
          <w:bCs/>
          <w:color w:val="auto"/>
          <w:sz w:val="24"/>
          <w:szCs w:val="24"/>
          <w:highlight w:val="none"/>
        </w:rPr>
        <w:t xml:space="preserve">乙方违反其他合同约定的；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如因乙方违约导致甲方诉至法院的，乙方还应承担甲方为实现该债权所支出的所有费用（包括但不限于诉讼费、保全费、执行费、律师费、公告费、评估费、拍卖费、查档费等费用）。</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乙方承诺拥有所提供计算机软件、程序和知识库等的全部知识产权，且乙方保证所提供的软件、程序和知识库或其授予甲方的权利不会侵犯任何第三人的版权、专利权或商标权等知识产权或其他权利，不违反任何第三方的信息专有权，也没有其他针对乙方所提供的软件、程序和知识库等权利的未决诉讼。甲方行使乙方所授予的软件权利不会侵犯任何第三人的合法权利。若乙方向甲方提供的软件、程序和知识库等存在或发生知识产权、价值和成本等纠纷，一切责任均由乙方承担，甲方不承担任何责任。</w:t>
      </w:r>
      <w:r/>
    </w:p>
    <w:p>
      <w:pPr>
        <w:pStyle w:val="963"/>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有下列情形之一，甲方有权单方解除本合同，要求乙方退回已支付的设备款项并要求承担违约责任；</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①乙方设备因质量问题无法达到正常使用率，经乙方维修一次后仍无法达到标准的；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②乙方设备存在缺陷的。</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9、争议的解决：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签约地点：无锡市人民医院。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争议的解决：由本合同引起的任何争议，双方应尽量通过友好协商的方式解决。若争议发生后的三十天内双方仍未达成解决方案，则任何一方有权向甲方所在地的人民法院起诉。本合同适用中华人民共和国法律。</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10、合同附件</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廉政协议书。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本合同的附件是合同的有机组成部分，具有补充、解释或修改合同的作用，对合同双方有约束力。其他事宜按投标书承诺执行。</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w:t>
      </w:r>
      <w:r>
        <w:rPr>
          <w:rFonts w:hint="eastAsia" w:ascii="宋体" w:hAnsi="宋体" w:eastAsia="宋体" w:cs="宋体"/>
          <w:color w:val="auto"/>
          <w:sz w:val="24"/>
          <w:szCs w:val="24"/>
          <w:highlight w:val="none"/>
        </w:rPr>
        <w:t xml:space="preserve">本合同自双方签字盖章后生效，本合同一式伍份，甲方执叁份、乙方执</w:t>
      </w:r>
      <w:r>
        <w:rPr>
          <w:rFonts w:hint="eastAsia" w:ascii="宋体" w:hAnsi="宋体" w:eastAsia="宋体" w:cs="宋体"/>
          <w:color w:val="auto"/>
          <w:sz w:val="24"/>
          <w:szCs w:val="24"/>
          <w:highlight w:val="none"/>
          <w:lang w:eastAsia="zh-CN"/>
        </w:rPr>
        <w:t xml:space="preserve">贰</w:t>
      </w:r>
      <w:r>
        <w:rPr>
          <w:rFonts w:hint="eastAsia" w:ascii="宋体" w:hAnsi="宋体" w:eastAsia="宋体" w:cs="宋体"/>
          <w:color w:val="auto"/>
          <w:sz w:val="24"/>
          <w:szCs w:val="24"/>
          <w:highlight w:val="none"/>
        </w:rPr>
        <w:t xml:space="preserve">份。未尽事宜，双方应本着友好合作精神协商解决。</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w:t>
      </w:r>
      <w:r>
        <w:rPr>
          <w:rFonts w:hint="eastAsia" w:ascii="宋体" w:hAnsi="宋体" w:eastAsia="宋体" w:cs="宋体"/>
          <w:color w:val="auto"/>
          <w:sz w:val="24"/>
          <w:szCs w:val="24"/>
          <w:highlight w:val="none"/>
        </w:rPr>
        <w:t xml:space="preserve">本合同首部确定的各方联系方式为各方确定的合同履行期间相关材料及争议解决时法律文书的送达地址。送达地址如发生变化，应当在变更前五日内书面通知对方。本合同履行期间的相关材料及发生争议时的法律文书、诉讼文书达到合同首部明确的地址、联系人、邮箱时，视为相关材料送达完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：无锡市人民医院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经  办 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经  办 人：</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     期： </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开户银行：</w:t>
      </w:r>
      <w:r/>
    </w:p>
    <w:p>
      <w:pPr>
        <w:ind w:right="0" w:firstLine="552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账    号： </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附件1</w:t>
      </w:r>
      <w:r/>
    </w:p>
    <w:p>
      <w:p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廉政协议书</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一、双方的责任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严格遵守国家关于市场准入、产品采购、招标投标、生产销售和市场活动等有关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，相关政策，以及廉政建设的各项规定。</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严格执行</w:t>
      </w:r>
      <w:r>
        <w:rPr>
          <w:rFonts w:hint="eastAsia" w:ascii="宋体" w:hAnsi="宋体" w:eastAsia="宋体" w:cs="宋体"/>
          <w:color w:val="auto"/>
          <w:sz w:val="24"/>
          <w:szCs w:val="24"/>
          <w:highlight w:val="none"/>
          <w:lang w:val="en-US" w:eastAsia="zh-CN"/>
        </w:rPr>
        <w:t xml:space="preserve">无锡市人民医院</w:t>
      </w:r>
      <w:r>
        <w:rPr>
          <w:rFonts w:hint="eastAsia" w:ascii="宋体" w:hAnsi="宋体" w:eastAsia="宋体" w:cs="宋体"/>
          <w:color w:val="auto"/>
          <w:sz w:val="24"/>
          <w:szCs w:val="24"/>
          <w:highlight w:val="none"/>
        </w:rPr>
        <w:t xml:space="preserve">的采购制度，自觉按采购程序办事。</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二、甲方的义务</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甲方及其工作人员不得索要或接受乙方的礼金、有价证券、贵重物品及回扣、好处费、感谢费等。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甲方及其工作人员不得在乙方报销任何应由甲方或个人支付的费用。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 甲方及其工作人员不得参加乙方安排的可能影响公正采购的宴请、旅游和娱乐活动</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甲方及其工作人员不得接受乙方提供的通讯工具、交通工具和高档办公用品等。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甲方及其工作人员不得向乙方介绍其家属、亲友从事与甲方业务有关的经济活动。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甲方工作人员发现乙方</w:t>
      </w:r>
      <w:r>
        <w:rPr>
          <w:rFonts w:hint="eastAsia" w:ascii="宋体" w:hAnsi="宋体" w:eastAsia="宋体" w:cs="宋体"/>
          <w:color w:val="auto"/>
          <w:sz w:val="24"/>
          <w:szCs w:val="24"/>
          <w:highlight w:val="none"/>
          <w:lang w:val="en-US" w:eastAsia="zh-CN"/>
        </w:rPr>
        <w:t xml:space="preserve">有违反</w:t>
      </w:r>
      <w:r>
        <w:rPr>
          <w:rFonts w:hint="eastAsia" w:ascii="宋体" w:hAnsi="宋体" w:eastAsia="宋体" w:cs="宋体"/>
          <w:color w:val="auto"/>
          <w:sz w:val="24"/>
          <w:szCs w:val="24"/>
          <w:highlight w:val="none"/>
        </w:rPr>
        <w:t xml:space="preserve">廉洁</w:t>
      </w:r>
      <w:r>
        <w:rPr>
          <w:rFonts w:hint="eastAsia" w:ascii="宋体" w:hAnsi="宋体" w:eastAsia="宋体" w:cs="宋体"/>
          <w:color w:val="auto"/>
          <w:sz w:val="24"/>
          <w:szCs w:val="24"/>
          <w:highlight w:val="none"/>
          <w:lang w:val="en-US" w:eastAsia="zh-CN"/>
        </w:rPr>
        <w:t xml:space="preserve">要求的</w:t>
      </w:r>
      <w:r>
        <w:rPr>
          <w:rFonts w:hint="eastAsia" w:ascii="宋体" w:hAnsi="宋体" w:eastAsia="宋体" w:cs="宋体"/>
          <w:color w:val="auto"/>
          <w:sz w:val="24"/>
          <w:szCs w:val="24"/>
          <w:highlight w:val="none"/>
        </w:rPr>
        <w:t xml:space="preserve">行为，应及时提醒乙方纠正。情节严重的，应向领导或有关部门报告。</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三、乙方的义务</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乙方不得以任何理由向甲方及其工作人员行贿或馈赠礼金、有价证券、贵重礼品。</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乙方不得以任何名义为甲方及其工作人员报销应由甲方单位或个人支付的任何费用。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乙方不得以任何理由安排甲方及其工作人员参加宴请、旅游和娱乐活动。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乙方不得为甲方单位和个人购置或提供通讯工具、交通工具和高档办公用品等物品。</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 乙方</w:t>
      </w:r>
      <w:r>
        <w:rPr>
          <w:rFonts w:hint="eastAsia" w:ascii="宋体" w:hAnsi="宋体" w:eastAsia="宋体" w:cs="宋体"/>
          <w:color w:val="auto"/>
          <w:sz w:val="24"/>
          <w:szCs w:val="24"/>
          <w:highlight w:val="none"/>
          <w:lang w:val="en-US" w:eastAsia="zh-CN"/>
        </w:rPr>
        <w:t xml:space="preserve">自觉遵守《无锡市人民医院供应商管理办法》要求，如有违反自愿接受相应处理。</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若发现甲方工作人员有违反廉政规定的行为，应及时向</w:t>
      </w:r>
      <w:r>
        <w:rPr>
          <w:rFonts w:hint="eastAsia" w:ascii="宋体" w:hAnsi="宋体" w:eastAsia="宋体" w:cs="宋体"/>
          <w:color w:val="auto"/>
          <w:sz w:val="24"/>
          <w:szCs w:val="24"/>
          <w:highlight w:val="none"/>
          <w:lang w:val="en-US" w:eastAsia="zh-CN"/>
        </w:rPr>
        <w:t xml:space="preserve">医院行风、</w:t>
      </w:r>
      <w:r>
        <w:rPr>
          <w:rFonts w:hint="eastAsia" w:ascii="宋体" w:hAnsi="宋体" w:eastAsia="宋体" w:cs="宋体"/>
          <w:color w:val="auto"/>
          <w:sz w:val="24"/>
          <w:szCs w:val="24"/>
          <w:highlight w:val="none"/>
        </w:rPr>
        <w:t xml:space="preserve">纪检监察部门举报；如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工作人员向乙方索贿，乙方应向</w:t>
      </w:r>
      <w:r>
        <w:rPr>
          <w:rFonts w:hint="eastAsia" w:ascii="宋体" w:hAnsi="宋体" w:eastAsia="宋体" w:cs="宋体"/>
          <w:color w:val="auto"/>
          <w:sz w:val="24"/>
          <w:szCs w:val="24"/>
          <w:highlight w:val="none"/>
          <w:lang w:val="en-US" w:eastAsia="zh-CN"/>
        </w:rPr>
        <w:t xml:space="preserve">医院行风、</w:t>
      </w:r>
      <w:r>
        <w:rPr>
          <w:rFonts w:hint="eastAsia" w:ascii="宋体" w:hAnsi="宋体" w:eastAsia="宋体" w:cs="宋体"/>
          <w:color w:val="auto"/>
          <w:sz w:val="24"/>
          <w:szCs w:val="24"/>
          <w:highlight w:val="none"/>
        </w:rPr>
        <w:t xml:space="preserve">纪检监察部门举报，不得迎合。</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四、违约责任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甲方及其工作人员违反本廉政协议的，按管理权限，依据有关规定给予党纪、</w:t>
      </w:r>
      <w:r>
        <w:rPr>
          <w:rFonts w:hint="eastAsia" w:ascii="宋体" w:hAnsi="宋体" w:eastAsia="宋体" w:cs="宋体"/>
          <w:color w:val="auto"/>
          <w:sz w:val="24"/>
          <w:szCs w:val="24"/>
          <w:highlight w:val="none"/>
          <w:lang w:val="en-US" w:eastAsia="zh-CN"/>
        </w:rPr>
        <w:t xml:space="preserve">政务、行政处分</w:t>
      </w:r>
      <w:r>
        <w:rPr>
          <w:rFonts w:hint="eastAsia" w:ascii="宋体" w:hAnsi="宋体" w:eastAsia="宋体" w:cs="宋体"/>
          <w:color w:val="auto"/>
          <w:sz w:val="24"/>
          <w:szCs w:val="24"/>
          <w:highlight w:val="none"/>
        </w:rPr>
        <w:t xml:space="preserve">或组织处理；涉嫌犯罪的，移交司法机关追究刑事责任。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 乙方及其工作人员违反本廉政协议的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依据情节严重程度，采取约谈，列入供应商黑名单管理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直至</w:t>
      </w:r>
      <w:r>
        <w:rPr>
          <w:rFonts w:hint="eastAsia" w:ascii="宋体" w:hAnsi="宋体" w:eastAsia="宋体" w:cs="宋体"/>
          <w:color w:val="auto"/>
          <w:sz w:val="24"/>
          <w:szCs w:val="24"/>
          <w:highlight w:val="none"/>
        </w:rPr>
        <w:t xml:space="preserve">取消其在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的供应商资格；给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造成经济损失的，应予以赔偿；情节严重的</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向</w:t>
      </w:r>
      <w:r>
        <w:rPr>
          <w:rFonts w:hint="eastAsia" w:ascii="宋体" w:hAnsi="宋体" w:eastAsia="宋体" w:cs="宋体"/>
          <w:color w:val="auto"/>
          <w:sz w:val="24"/>
          <w:szCs w:val="24"/>
          <w:highlight w:val="none"/>
        </w:rPr>
        <w:t xml:space="preserve">有关主管部门</w:t>
      </w:r>
      <w:r>
        <w:rPr>
          <w:rFonts w:hint="eastAsia" w:ascii="宋体" w:hAnsi="宋体" w:eastAsia="宋体" w:cs="宋体"/>
          <w:color w:val="auto"/>
          <w:sz w:val="24"/>
          <w:szCs w:val="24"/>
          <w:highlight w:val="none"/>
          <w:lang w:val="en-US" w:eastAsia="zh-CN"/>
        </w:rPr>
        <w:t xml:space="preserve">通报，建议</w:t>
      </w:r>
      <w:r>
        <w:rPr>
          <w:rFonts w:hint="eastAsia" w:ascii="宋体" w:hAnsi="宋体" w:eastAsia="宋体" w:cs="宋体"/>
          <w:color w:val="auto"/>
          <w:sz w:val="24"/>
          <w:szCs w:val="24"/>
          <w:highlight w:val="none"/>
        </w:rPr>
        <w:t xml:space="preserve">给予乙方相应的行政处罚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涉嫌犯罪的，移交司法机关追究刑事责任。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五、争议解决</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本协议在履行过程中发生的争议，由双方协商解决；协商不成的，任何一方可向</w:t>
      </w:r>
      <w:r>
        <w:rPr>
          <w:rFonts w:hint="eastAsia" w:ascii="宋体" w:hAnsi="宋体" w:eastAsia="宋体" w:cs="宋体"/>
          <w:color w:val="auto"/>
          <w:sz w:val="24"/>
          <w:szCs w:val="24"/>
          <w:highlight w:val="none"/>
          <w:lang w:val="en-US" w:eastAsia="zh-CN"/>
        </w:rPr>
        <w:t xml:space="preserve">甲方所在地</w:t>
      </w:r>
      <w:r>
        <w:rPr>
          <w:rFonts w:hint="eastAsia" w:ascii="宋体" w:hAnsi="宋体" w:eastAsia="宋体" w:cs="宋体"/>
          <w:color w:val="auto"/>
          <w:sz w:val="24"/>
          <w:szCs w:val="24"/>
          <w:highlight w:val="none"/>
        </w:rPr>
        <w:t xml:space="preserve">人民法院提起诉讼。</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六、其他事项</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本协议书作为采购合同的附件，与采购合同具有同等法律效力。</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本协议书自双方签字（盖章）之日起生效，至采购合同履行完毕止。</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 本协议书</w:t>
      </w:r>
      <w:r>
        <w:rPr>
          <w:rFonts w:hint="eastAsia" w:ascii="宋体" w:hAnsi="宋体" w:eastAsia="宋体" w:cs="宋体"/>
          <w:color w:val="auto"/>
          <w:sz w:val="24"/>
          <w:szCs w:val="24"/>
          <w:highlight w:val="none"/>
          <w:lang w:eastAsia="zh-CN"/>
        </w:rPr>
        <w:t xml:space="preserve">一式两份，甲乙双方</w:t>
      </w:r>
      <w:r>
        <w:rPr>
          <w:rFonts w:hint="eastAsia" w:ascii="宋体" w:hAnsi="宋体" w:eastAsia="宋体" w:cs="宋体"/>
          <w:color w:val="auto"/>
          <w:sz w:val="24"/>
          <w:szCs w:val="24"/>
          <w:highlight w:val="none"/>
        </w:rPr>
        <w:t xml:space="preserve">各执一份</w:t>
      </w:r>
      <w:r>
        <w:rPr>
          <w:rFonts w:hint="eastAsia" w:ascii="宋体" w:hAnsi="宋体" w:eastAsia="宋体" w:cs="宋体"/>
          <w:color w:val="auto"/>
          <w:sz w:val="24"/>
          <w:szCs w:val="24"/>
          <w:highlight w:val="none"/>
          <w:lang w:eastAsia="zh-CN"/>
        </w:rPr>
        <w:t xml:space="preserve">。</w:t>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无锡市人民医院      乙方（盖章）：</w:t>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代表人签字：</w:t>
      </w:r>
      <w:r>
        <w:rPr>
          <w:rFonts w:hint="eastAsia" w:ascii="宋体" w:hAnsi="宋体" w:eastAsia="宋体" w:cs="宋体"/>
          <w:color w:val="auto"/>
          <w:sz w:val="24"/>
          <w:szCs w:val="24"/>
          <w:highlight w:val="none"/>
          <w:lang w:val="en-US" w:eastAsia="zh-CN"/>
        </w:rPr>
        <w:t xml:space="preserve">                     代表人签字：</w:t>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rPr>
        <w:sectPr>
          <w:footerReference w:type="default" r:id="rId14"/>
          <w:footnotePr/>
          <w:endnotePr/>
          <w:type w:val="nextPage"/>
          <w:pgSz w:w="11906" w:h="16838" w:orient="portrait"/>
          <w:pgMar w:top="1814" w:right="1531" w:bottom="1814" w:left="1531" w:header="851" w:footer="992" w:gutter="0"/>
          <w:pgNumType w:start="1"/>
          <w:cols w:num="1" w:sep="0" w:space="425" w:equalWidth="1"/>
          <w:docGrid w:linePitch="360"/>
        </w:sectPr>
      </w:pPr>
      <w:r>
        <w:rPr>
          <w:rFonts w:hint="eastAsia" w:ascii="宋体" w:hAnsi="宋体" w:eastAsia="宋体" w:cs="宋体"/>
          <w:color w:val="auto"/>
          <w:sz w:val="24"/>
          <w:szCs w:val="24"/>
          <w:highlight w:val="none"/>
        </w:rPr>
        <w:t xml:space="preserve">签订日期：___年___月___日</w:t>
      </w:r>
      <w:r>
        <w:rPr>
          <w:rFonts w:hint="eastAsia" w:ascii="宋体" w:hAnsi="宋体" w:eastAsia="宋体" w:cs="宋体"/>
          <w:color w:val="auto"/>
          <w:sz w:val="24"/>
          <w:szCs w:val="24"/>
          <w:highlight w:val="none"/>
          <w:lang w:val="en-US" w:eastAsia="zh-CN"/>
        </w:rPr>
        <w:t xml:space="preserve">      签订日期：</w:t>
      </w:r>
      <w:r>
        <w:rPr>
          <w:rFonts w:hint="eastAsia" w:ascii="宋体" w:hAnsi="宋体" w:eastAsia="宋体" w:cs="宋体"/>
          <w:color w:val="auto"/>
          <w:sz w:val="24"/>
          <w:szCs w:val="24"/>
          <w:highlight w:val="none"/>
        </w:rPr>
        <w:t xml:space="preserve">___年___月___日</w:t>
      </w:r>
      <w:r>
        <w:rPr>
          <w:rFonts w:hint="eastAsia" w:ascii="宋体" w:hAnsi="宋体" w:eastAsia="宋体" w:cs="宋体"/>
          <w:color w:val="auto"/>
          <w:sz w:val="24"/>
          <w:szCs w:val="24"/>
          <w:highlight w:val="none"/>
          <w:lang w:val="en-US" w:eastAsia="zh-CN"/>
        </w:rPr>
        <w:t xml:space="preserve"> </w:t>
      </w:r>
      <w:r/>
    </w:p>
    <w:p>
      <w:pPr>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firstLine="480"/>
        <w:jc w:val="left"/>
        <w:spacing w:line="360" w:lineRule="auto"/>
        <w:rPr>
          <w:rFonts w:hint="eastAsia" w:ascii="宋体" w:hAnsi="宋体" w:eastAsia="宋体" w:cs="宋体"/>
          <w:color w:val="auto"/>
          <w:sz w:val="24"/>
          <w:szCs w:val="24"/>
          <w:highlight w:val="none"/>
        </w:rPr>
      </w:pPr>
      <w:r/>
      <w:bookmarkStart w:id="147" w:name="_Toc49090575"/>
      <w:r/>
      <w:bookmarkStart w:id="148" w:name="_Toc26554093"/>
      <w:r/>
      <w:bookmarkStart w:id="149" w:name="_Toc120614281"/>
      <w:r>
        <w:rPr>
          <w:rFonts w:hint="eastAsia" w:ascii="宋体" w:hAnsi="宋体" w:eastAsia="宋体" w:cs="宋体"/>
          <w:color w:val="auto"/>
          <w:sz w:val="24"/>
          <w:szCs w:val="24"/>
          <w:highlight w:val="none"/>
        </w:rPr>
        <w:t xml:space="preserve">本项目属性：货物类项目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本项目标的物所属行业：工业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制造业）</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本项目核心产品为智能发鞋机、智能发衣机</w:t>
      </w:r>
      <w:r/>
    </w:p>
    <w:p>
      <w:pPr>
        <w:numPr>
          <w:ilvl w:val="1"/>
          <w:numId w:val="0"/>
        </w:numPr>
        <w:ind w:firstLine="480"/>
        <w:spacing w:line="360" w:lineRule="auto"/>
        <w:tabs>
          <w:tab w:val="left" w:pos="525" w:leader="none"/>
          <w:tab w:val="left" w:pos="945" w:leader="none"/>
        </w:tabs>
        <w:rPr>
          <w:rFonts w:hint="default" w:ascii="宋体" w:hAnsi="宋体" w:eastAsia="宋体" w:cs="宋体"/>
          <w:bCs/>
          <w:color w:val="auto"/>
          <w:sz w:val="24"/>
          <w:szCs w:val="24"/>
          <w:highlight w:val="none"/>
          <w:lang w:val="en-US" w:eastAsia="zh-CN"/>
        </w:rPr>
      </w:pPr>
      <w:r>
        <w:rPr>
          <w:rFonts w:hint="eastAsia" w:ascii="宋体"/>
          <w:bCs/>
          <w:color w:val="auto"/>
          <w:sz w:val="24"/>
          <w:szCs w:val="24"/>
          <w:highlight w:val="none"/>
        </w:rPr>
        <w:t xml:space="preserve">本项目不接受进口产品参与投标。</w:t>
      </w:r>
      <w:r>
        <w:rPr>
          <w:rFonts w:hint="eastAsia" w:ascii="宋体" w:hAnsi="宋体"/>
          <w:bCs/>
          <w:color w:val="auto"/>
          <w:sz w:val="24"/>
          <w:szCs w:val="24"/>
          <w:highlight w:val="none"/>
        </w:rPr>
        <w:t xml:space="preserve">注：进口产品是指通过中国海关报关验放进入中国境内且产自关境外的产品。</w:t>
      </w:r>
      <w:r/>
    </w:p>
    <w:p>
      <w:pPr>
        <w:numPr>
          <w:ilvl w:val="0"/>
          <w:numId w:val="1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技术需求：项目配置、技术参数等</w:t>
      </w:r>
      <w:r/>
    </w:p>
    <w:p>
      <w:pPr>
        <w:pStyle w:val="816"/>
        <w:numPr>
          <w:ilvl w:val="0"/>
          <w:numId w:val="0"/>
        </w:numPr>
        <w:ind w:left="0"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一、项目背景</w:t>
      </w:r>
      <w:r/>
    </w:p>
    <w:p>
      <w:pPr>
        <w:ind w:left="0" w:firstLine="480"/>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院信息化经过多年建设，对各项业务支撑已逐步覆盖，但过去的建设着重于各个单独的业务系统，随着公立医院高质量发展要求的提出，智慧服务、智慧管理、电子病历评级、互联互通、三级医院评审等方面，对打破医院内部信息孤岛、数据互联互通、数据质量提升和全流程管控均提出了相关要求，同时随着大数据、5G、</w:t>
      </w:r>
      <w:bookmarkStart w:id="160" w:name="_GoBack"/>
      <w:r/>
      <w:bookmarkEnd w:id="160"/>
      <w:r>
        <w:rPr>
          <w:rFonts w:hint="eastAsia" w:ascii="宋体" w:hAnsi="宋体" w:eastAsia="宋体" w:cs="宋体"/>
          <w:bCs/>
          <w:color w:val="auto"/>
          <w:sz w:val="24"/>
          <w:szCs w:val="24"/>
          <w:highlight w:val="none"/>
        </w:rPr>
        <w:t xml:space="preserve">物联网、人工智能等新兴技术的普及，医院患者在看病过程中的流程优化和满意度提升也提出新挑战，项目建设将紧密围绕高质量发展目标，落实各项评审要求，显著推进医院“流程化、规范化、精准化、智能化、数字化、一体化”的进展，最终着力于医院管理提升、价值提升，实现智能互联、高效协同、智慧管理、智慧决策，提升患者和医务人员的满意度。</w:t>
      </w:r>
      <w:r/>
    </w:p>
    <w:p>
      <w:pPr>
        <w:pStyle w:val="816"/>
        <w:numPr>
          <w:ilvl w:val="0"/>
          <w:numId w:val="0"/>
        </w:numPr>
        <w:ind w:left="0" w:firstLine="480"/>
        <w:keepLines w:val="0"/>
        <w:pageBreakBefore w:val="0"/>
        <w:spacing w:line="360" w:lineRule="auto"/>
        <w:widowControl w:val="off"/>
        <w:tabs>
          <w:tab w:val="clear"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二、建设目标</w:t>
      </w:r>
      <w:r/>
    </w:p>
    <w:p>
      <w:pPr>
        <w:ind w:left="0" w:firstLine="480"/>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根据《国务院办公厅关于推动公立医院高质量发展的意见》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国办发〔2021〕18号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、《关于开展公立医院高质量发展省级试点工作的通知》（苏医改办发〔2022〕11号）、《市政府办公室关于印发无锡市卫生健康医疗科技能力提升三年行动实施方案2023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2025年)的通知》（锡政办发〔2023〕17号）等文件要求，无锡市人民医院作为公立医</w:t>
      </w:r>
      <w:r>
        <w:rPr>
          <w:rFonts w:hint="eastAsia" w:ascii="宋体" w:hAnsi="宋体" w:eastAsia="宋体" w:cs="宋体"/>
          <w:bCs/>
          <w:color w:val="auto"/>
          <w:sz w:val="24"/>
          <w:szCs w:val="24"/>
          <w:highlight w:val="none"/>
        </w:rPr>
        <w:t xml:space="preserve">院高质量发展省级试点单位，积极落实文件相关要求，结合自身发展现状，拟建设医院信息化建设2024项目，项目内容涵盖护理文件书写信息系统、输血全过程管理信息系统、手术全流程管理系统、智慧护理系统、新增病理常规及细胞学综合报告工作站、药房管理、处方管理、药库管理等系统更换升级、智慧病房系统、急诊信息化智慧医疗服务系统、移动就医、医保DRG结算清单系统、智慧管理一期（质控管理）、云端资源服务采购多个板块。为后续医院电子病历6级评审、互联互通评级、智慧医院评级等提供信息化支持，助力医院2025年冲刺全国公立医院百强。</w:t>
      </w:r>
      <w:r/>
    </w:p>
    <w:p>
      <w:pPr>
        <w:ind w:left="0" w:firstLine="480"/>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因业务数据交互模式及医用安全标准专门选型配置，与业务系统深度耦合，是软件功能实现的</w:t>
      </w:r>
      <w:r>
        <w:rPr>
          <w:rFonts w:hint="eastAsia" w:ascii="宋体" w:hAnsi="宋体" w:eastAsia="宋体" w:cs="宋体"/>
          <w:bCs/>
          <w:color w:val="auto"/>
          <w:sz w:val="24"/>
          <w:szCs w:val="24"/>
          <w:highlight w:val="none"/>
        </w:rPr>
        <w:t xml:space="preserve">物理载体与数据交互节点，不同厂商的硬件与应用系统之间存在兼容性壁垒，本次项目需要统一交互节点、协调部署包含：交换机、智慧病房交互大屏、急诊质控大屏、信息显示屏、医护主机、床头分机、门口分机、卫生间分机、走廊显示屏、多参数生命体征采集设备、串口数据采集器、全自动台式血压计、5GPDA、桌面式指纹人脸一体机、准入控制套件、桌面式读写器、RFID标签、智能发鞋机、智能收鞋机、智能发衣机、智能收衣机、智能更鞋柜控制主柜、智能更鞋柜、智能更衣柜控制主柜、智能更衣柜等关键设备，进行系统集成，确保业务系统的安全稳定运行。</w:t>
      </w:r>
      <w:r/>
    </w:p>
    <w:p>
      <w:pPr>
        <w:pStyle w:val="816"/>
        <w:numPr>
          <w:ilvl w:val="0"/>
          <w:numId w:val="0"/>
        </w:numPr>
        <w:ind w:left="0" w:firstLine="480"/>
        <w:keepLines w:val="0"/>
        <w:pageBreakBefore w:val="0"/>
        <w:spacing w:line="360" w:lineRule="auto"/>
        <w:widowControl w:val="off"/>
        <w:tabs>
          <w:tab w:val="clear"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三、建设清单</w:t>
      </w:r>
      <w:r/>
    </w:p>
    <w:tbl>
      <w:tblPr>
        <w:tblStyle w:val="822"/>
        <w:tblW w:w="86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380"/>
        <w:gridCol w:w="1660"/>
        <w:gridCol w:w="960"/>
        <w:gridCol w:w="960"/>
        <w:gridCol w:w="1970"/>
      </w:tblGrid>
      <w:tr>
        <w:trPr>
          <w:jc w:val="center"/>
          <w:trHeight w:val="615"/>
        </w:trPr>
        <w:tc>
          <w:tcPr>
            <w:tcBorders>
              <w:top w:val="single" w:color="000000" w:sz="8" w:space="0"/>
              <w:left w:val="single" w:color="000000" w:sz="8" w:space="0"/>
              <w:bottom w:val="single" w:color="000000" w:sz="8" w:space="0"/>
              <w:right w:val="single" w:color="000000" w:sz="8" w:space="0"/>
            </w:tcBorders>
            <w:tcW w:w="72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238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分项名称</w:t>
            </w:r>
            <w:r/>
          </w:p>
        </w:tc>
        <w:tc>
          <w:tcPr>
            <w:tcBorders>
              <w:top w:val="single" w:color="000000" w:sz="8"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性能指标</w:t>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8"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所属行业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智慧病房交互大屏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急诊质控大屏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信息显示屏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医护主机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床头分机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门口分机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卫生间分机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走廊显示屏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多参数生命体征采集设备</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串口数据采集器</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全自动台式血压计</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5GPDA</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桌面式指纹人脸一体机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准入控制套件</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桌面式读写器</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RFID标签</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智能发鞋机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智能收鞋机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智能发衣机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智能收衣机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智能更鞋柜控制主柜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智能更衣柜控制主柜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bl>
    <w:p>
      <w:pPr>
        <w:rPr>
          <w:color w:val="auto"/>
          <w:highlight w:val="none"/>
        </w:rPr>
      </w:pPr>
      <w:r>
        <w:rPr>
          <w:color w:val="auto"/>
          <w:highlight w:val="none"/>
        </w:rPr>
      </w:r>
      <w:r/>
    </w:p>
    <w:p>
      <w:pPr>
        <w:pStyle w:val="816"/>
        <w:numPr>
          <w:ilvl w:val="0"/>
          <w:numId w:val="0"/>
        </w:numPr>
        <w:ind w:left="0" w:firstLine="480"/>
        <w:pageBreakBefore w:val="0"/>
        <w:spacing w:line="360" w:lineRule="auto"/>
        <w:widowControl w:val="off"/>
        <w:tabs>
          <w:tab w:val="clear"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四、技术要求</w:t>
      </w:r>
      <w:r/>
    </w:p>
    <w:p>
      <w:pPr>
        <w:pStyle w:val="963"/>
        <w:numPr>
          <w:ilvl w:val="0"/>
          <w:numId w:val="11"/>
        </w:numPr>
        <w:ind w:left="0" w:firstLine="482"/>
        <w:keepLines/>
        <w:keepNext/>
        <w:pageBreakBefore w:val="0"/>
        <w:spacing w:line="360" w:lineRule="auto"/>
        <w:widowControl w:val="off"/>
        <w:rPr>
          <w:rFonts w:hint="eastAsia" w:ascii="宋体" w:hAnsi="宋体" w:eastAsia="宋体" w:cs="宋体"/>
          <w:iCs/>
          <w:vanish/>
          <w:color w:val="auto"/>
          <w:sz w:val="24"/>
          <w:szCs w:val="24"/>
          <w:highlight w:val="none"/>
        </w:rPr>
        <w:outlineLvl w:val="5"/>
      </w:pPr>
      <w:r>
        <w:rPr>
          <w:rFonts w:hint="eastAsia" w:ascii="宋体" w:hAnsi="宋体" w:eastAsia="宋体" w:cs="宋体"/>
          <w:iCs/>
          <w:vanish/>
          <w:color w:val="auto"/>
          <w:sz w:val="24"/>
          <w:szCs w:val="24"/>
          <w:highlight w:val="none"/>
        </w:rPr>
      </w:r>
      <w:r/>
    </w:p>
    <w:p>
      <w:pPr>
        <w:pStyle w:val="963"/>
        <w:numPr>
          <w:ilvl w:val="0"/>
          <w:numId w:val="11"/>
        </w:numPr>
        <w:ind w:left="0" w:firstLine="482"/>
        <w:keepLines/>
        <w:keepNext/>
        <w:pageBreakBefore w:val="0"/>
        <w:spacing w:line="360" w:lineRule="auto"/>
        <w:widowControl w:val="off"/>
        <w:rPr>
          <w:rFonts w:hint="eastAsia" w:ascii="宋体" w:hAnsi="宋体" w:eastAsia="宋体" w:cs="宋体"/>
          <w:iCs/>
          <w:vanish/>
          <w:color w:val="auto"/>
          <w:sz w:val="24"/>
          <w:szCs w:val="24"/>
          <w:highlight w:val="none"/>
        </w:rPr>
        <w:outlineLvl w:val="5"/>
      </w:pPr>
      <w:r>
        <w:rPr>
          <w:rFonts w:hint="eastAsia" w:ascii="宋体" w:hAnsi="宋体" w:eastAsia="宋体" w:cs="宋体"/>
          <w:iCs/>
          <w:vanish/>
          <w:color w:val="auto"/>
          <w:sz w:val="24"/>
          <w:szCs w:val="24"/>
          <w:highlight w:val="none"/>
        </w:rPr>
      </w:r>
      <w:r/>
    </w:p>
    <w:p>
      <w:pPr>
        <w:pStyle w:val="963"/>
        <w:numPr>
          <w:ilvl w:val="0"/>
          <w:numId w:val="11"/>
        </w:numPr>
        <w:ind w:left="0" w:firstLine="482"/>
        <w:keepLines/>
        <w:keepNext/>
        <w:pageBreakBefore w:val="0"/>
        <w:spacing w:line="360" w:lineRule="auto"/>
        <w:widowControl w:val="off"/>
        <w:rPr>
          <w:rFonts w:hint="eastAsia" w:ascii="宋体" w:hAnsi="宋体" w:eastAsia="宋体" w:cs="宋体"/>
          <w:iCs/>
          <w:vanish/>
          <w:color w:val="auto"/>
          <w:sz w:val="24"/>
          <w:szCs w:val="24"/>
          <w:highlight w:val="none"/>
        </w:rPr>
        <w:outlineLvl w:val="5"/>
      </w:pPr>
      <w:r>
        <w:rPr>
          <w:rFonts w:hint="eastAsia" w:ascii="宋体" w:hAnsi="宋体" w:eastAsia="宋体" w:cs="宋体"/>
          <w:iCs/>
          <w:vanish/>
          <w:color w:val="auto"/>
          <w:sz w:val="24"/>
          <w:szCs w:val="24"/>
          <w:highlight w:val="none"/>
        </w:rPr>
      </w:r>
      <w:r/>
    </w:p>
    <w:p>
      <w:pPr>
        <w:pStyle w:val="817"/>
        <w:ind w:left="0" w:firstLine="482"/>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设备兼容性与系统集成相关要求</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医护更鞋、更衣区设备</w:t>
      </w:r>
      <w:r>
        <w:rPr>
          <w:rFonts w:hint="eastAsia" w:ascii="宋体" w:hAnsi="宋体" w:eastAsia="宋体" w:cs="宋体"/>
          <w:bCs/>
          <w:color w:val="auto"/>
          <w:sz w:val="24"/>
          <w:szCs w:val="24"/>
          <w:highlight w:val="none"/>
        </w:rPr>
        <w:t xml:space="preserve">须与院内相关业务系统对接，具备对接护士站管理系统的统计查询、远程控制等功能。</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1、支持统计查询功能对接</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对接自动记录医护人员在进出大门，洗手衣鞋的领用、归还等重要的节点相关信息，需支持手术室管理人员随时统计并查询一个完整流程中各个环节、各个控制点的信息数据，如洗手衣、拖鞋使用数据、污衣回收数据等。</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2）支持对接衣物发放量统计：系统需支持根据时间统计各区域的发放量及占比或统计各型号的衣物发放量及占比。</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3）支持对接衣物违规占用信息统计：系统需支持对衣物的领用归还信息统计，如各科室违规占用衣物的人员数量及各科室的违规次数占比，对衣物的领用信息统计各区域各时间段的人员数量。</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2、支持远程控制功能对接</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1）支持对接远程控制所有接入系统的发鞋机、发衣机，对洗手衣、鞋的发放进行管理，低于一定数量进行报警。</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2）支持对接远程控制所有接入系统的回收机，领取洗手衣鞋的人员离开手术室时需进行衣、鞋的归还、系统自动解除人员名下领取的衣、鞋。</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3）支持对接远程控制所有接入系统的衣、鞋柜，医护人员在衣、鞋柜的刷卡区域刷卡、人脸、指纹，系统自动根据使用者的身份权限就近开启自动换鞋柜的柜门或进行相应的提示，并自动记录柜门开启时间。</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4）支持对接软件远程控制衣柜、鞋柜的远程开关，在设备损坏的情况下，通过软件可以将坏的柜子锁掉，不让其他人员误用。</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支持对接实时查看衣鞋发放设备的发放量及剩余存储量等信息，也可以查询到鞋柜使用情况，如：多少空闲鞋柜、有多少鞋柜被占用及等待维修等信息，同时可以检测回收设备当前回收了多少数量的衣、鞋等数据，所有产生的信息都将保存在数据库中。</w:t>
      </w:r>
      <w:r/>
    </w:p>
    <w:p>
      <w:pPr>
        <w:pStyle w:val="817"/>
        <w:ind w:left="0" w:firstLine="482"/>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）医护更鞋、更衣区设备功能</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1、智能更鞋柜控制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医护人员在换鞋柜的权限区域刷IC卡、指纹、人脸系统自动根据身份权限分配鞋柜并进行相应的提示，系统自动记录柜门开启时间。</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2、智能发鞋机控制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1）智能发鞋机是在计算机软件工作下的智能化发放设备，系统基于IP 网络的中央自动化控制构架，医护人员在任何一台智能发鞋机的权限区域刷IC卡、人脸、指纹系统会自动与控制服务器比对识别人员身份，并做出发鞋提示。</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系统需具有群组管理能力，手术室内所有的智能发鞋机都在一个平台上进行控制及管理，具有鞋子数量告警功能，当智能发鞋机中某种型号的鞋子低于设定的数量，系统会自动进行提示，提醒工作人员及时补充鞋，保证各种型号手术鞋的充足发放。</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3）系统具备在断网状态下工作的能力，脱机完成发放并记录，检测项目至少包含离线加鞋、离线发鞋等。</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3、智能发衣机控制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1）在更衣室内，通过在智能发衣机权限区域刷卡、人脸、指纹根据预先维护的信息按尺码领取含 RFID 芯片的洗手衣，系统自动进行衣物与领物人信息的关联登记。</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文操作界面并支持中文语音提示，手术室内所有的智能发衣机在一个平台上进行控制及管理，医护人员可在任何一台智能发衣机权限区域刷卡、指纹、人脸识别领取自动发放的匹配人员身材的洗手衣，设备具有衣物数量告警功能。</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3）智能发衣机是在计算机软件工作下的智能化发放设备。系统基于IP 网络的中央自动化控制</w:t>
      </w:r>
      <w:r>
        <w:rPr>
          <w:rFonts w:hint="eastAsia" w:ascii="宋体" w:hAnsi="宋体" w:eastAsia="宋体" w:cs="宋体"/>
          <w:bCs/>
          <w:color w:val="auto"/>
          <w:sz w:val="24"/>
          <w:szCs w:val="24"/>
          <w:highlight w:val="none"/>
          <w:lang w:eastAsia="zh-CN"/>
        </w:rPr>
        <w:t xml:space="preserve">架构</w:t>
      </w:r>
      <w:r>
        <w:rPr>
          <w:rFonts w:hint="eastAsia" w:ascii="宋体" w:hAnsi="宋体" w:eastAsia="宋体" w:cs="宋体"/>
          <w:bCs/>
          <w:color w:val="auto"/>
          <w:sz w:val="24"/>
          <w:szCs w:val="24"/>
          <w:highlight w:val="none"/>
        </w:rPr>
        <w:t xml:space="preserve">，医护人员在任何一台智能发衣机的权限区域刷IC卡或人脸或指纹系统会自动与控制服务器比对识别人员身份，并做出发衣提示。</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4、智能收衣鞋机控制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结合智能收衣鞋机，通过手术室行为管理系统，在医护人员领手术鞋开始，就把手术衣鞋与医护人员进行信息绑定，医护人员在出手术室之前，需将其名下所领的手术衣鞋投入收衣鞋机，智能收衣鞋机会通过红外物品检测装置启动 RFID 检测装置对手术衣鞋进行识别并自动回收，并自动解除医护人员名下所领手术衣鞋，以便具有权限开启手术室大门或下次领衣鞋权限。</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2）每次回收都有记录，当回收数量到达警戒值时发出溢满提示。</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3）系统具备在断网状态下工作的能力，脱机完成衣鞋回收并记录。</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5、智能更衣柜控制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1）在任意智能更衣柜主柜上的权限区域刷卡、指纹、人脸识别可提示自己更衣柜的号码。</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2）需支持更衣柜分配给手术室固定人员使用，设置为固定柜和流动柜、规培柜等，支持横向开柜同时支持根据身高信息分配柜子。</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3）需支持应急开锁等方式，打开并使用柜子。并同时具备断网离线模式下，正常使用设备的功能。</w:t>
      </w:r>
      <w:r/>
    </w:p>
    <w:p>
      <w:pPr>
        <w:pStyle w:val="817"/>
        <w:ind w:left="0" w:firstLine="482"/>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项目设备技术性能指标要求</w:t>
      </w:r>
      <w:r/>
    </w:p>
    <w:tbl>
      <w:tblPr>
        <w:tblStyle w:val="8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819"/>
        <w:gridCol w:w="5870"/>
        <w:gridCol w:w="670"/>
        <w:gridCol w:w="765"/>
      </w:tblGrid>
      <w:tr>
        <w:trPr>
          <w:jc w:val="center"/>
          <w:trHeight w:val="280"/>
        </w:trPr>
        <w:tc>
          <w:tcPr>
            <w:tcW w:w="58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537"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分项名称</w:t>
            </w:r>
            <w:r/>
          </w:p>
        </w:tc>
        <w:tc>
          <w:tcPr>
            <w:tcW w:w="4961"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性能指标</w:t>
            </w:r>
            <w:r/>
          </w:p>
        </w:tc>
        <w:tc>
          <w:tcPr>
            <w:tcW w:w="567"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646"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交换机（POE，48口，含交换机模块）</w:t>
            </w:r>
            <w:r/>
          </w:p>
        </w:tc>
        <w:tc>
          <w:tcPr>
            <w:tcW w:w="496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1）交换容量：432Gbps/4.32Tbps</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2）包转发率：144Mpps/166Mpps</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3）业务端口描述：48个10/100/1000Base-T自适应以太网端口，4个万兆SFP+口</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4）重量≤6kg</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5）整机功耗：AC MIN:37W MAX:478W；DC MIN:29W MAX:825W</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6）链路聚合：支持GE端口聚合；支持10GE端口聚合；支持静态聚合；支持动态聚合；支持跨设备聚合；</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7）流量控制：支持802.3x流控及半双工背压流控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8）MAC地址表：支持黑洞MAC地址；支持设置端口MAC地址学习个数</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9）VLAN：支持基于端口的VLAN；支持QinQ、灵活QinQ；支持Voice VLAN；支持协议VLAN；支持MAC VLAN；</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10）单播路由：支持IPv4/IPv6静态路由；支持RIP/RIPng，OSPF v2/v3</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11）二层环网协议：支持STP/RSTP/MSTP协议；支持STP Root Protection；支持BPDU Protection；G.8032以太网环保护协议ERPS，切换时间&lt;50ms；可兼容其他支持该协议的产品；支持RRPP</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符合国家信创要求</w:t>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智慧病房交互大屏（55寸）</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1)CPU：四核A73、GPU：Mail-G52</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RAM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运行内存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：8GB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ROM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机身存储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：64GB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屏幕尺寸：≥55英寸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分辨率：1920×1080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多点触控：支持20点触控</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急诊质控大屏</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LED液晶屏体，显示尺寸≥55英寸，屏幕使用4K A级硬屏；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显示比例：16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9，产品分辨率：3840*2160，4K超高清显示，对比度：≥1200:1；</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亮度：≥350cd/㎡，使用寿命≥30000hrs，面板亮度均匀度≥80%；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屏幕显示灰度分辨率等级达到128灰阶以上，最高可达256；</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整机外壳采用铝型材设计，抗撞抗划抗腐蚀，降低使用过程中的损坏，散热性能良好，且转角处采用弧形无尖锐边缘连接；</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高精度红外触摸框，最高支持二十点触控，触控分辨率32768*32768；</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整机表面采用钢化玻璃，可承受1kg钢球1.5m高度自由下落撞击玻璃表面无损伤破裂，确保使用安全；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整机具备防强光干扰性能，整机面板表面具备防眩光涂层，在100KLUX的强光照射下，产品各项书写、触控功能正常；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安卓系统采用新一代机芯，四核CPU（主频1.5GHZ以上），Mali-G51GPU，RAM≥3G，ROM≥32G的硬件配置；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双网口设计，支持网络桥接功能，可以为下一级设备提供网络，在高保密场合无需外接其他网络设备；</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一键</w:t>
            </w:r>
            <w:r>
              <w:rPr>
                <w:rFonts w:hint="eastAsia" w:ascii="宋体" w:hAnsi="宋体" w:eastAsia="宋体" w:cs="宋体"/>
                <w:color w:val="auto"/>
                <w:sz w:val="24"/>
                <w:szCs w:val="24"/>
                <w:highlight w:val="none"/>
                <w:lang w:eastAsia="zh-CN"/>
              </w:rPr>
              <w:t xml:space="preserve">熄</w:t>
            </w:r>
            <w:r>
              <w:rPr>
                <w:rFonts w:hint="eastAsia" w:ascii="宋体" w:hAnsi="宋体" w:eastAsia="宋体" w:cs="宋体"/>
                <w:color w:val="auto"/>
                <w:sz w:val="24"/>
                <w:szCs w:val="24"/>
                <w:highlight w:val="none"/>
              </w:rPr>
              <w:t xml:space="preserve">屏：产品短时间不使用或休息时可以一键关闭液晶屏背光，有效降低功耗超</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过85%；</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采用安卓8.0及以上版本的触控大屏操作系统，支持多任务分屏协作一屏双显功能；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触摸响应时间≤10ms，90%以上触摸区域精度为±1mm，触摸有效识别高度≤2mm</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信息显示屏</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1）屏幕尺寸：≥55英寸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2）分辨率：4K（3840*2160）及以上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3）内存：2+16G及以上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4）HDMI接口：2*HDMI2.0USB接口2×USB2.0接口其他接口1×AV输入数字RF接口</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5）背光灯类型：LED发光二极管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6）网络功能：有线/</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（2.4GHz）网络接口1×网络接口</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w:t>
            </w:r>
            <w:r/>
          </w:p>
        </w:tc>
        <w:tc>
          <w:tcPr>
            <w:tcW w:w="153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医护主机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采用安卓7.1及以上版本的操作系统，10.1英寸高清液晶屏，电容式液晶屏，分辨率1920*1080；500万像素摄像头，支持前后翻转，可调角度（相对屏幕-30度～+180度）；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采用8核CPU，主频可达1.8GHz，搭配2G+16G的内存存储组合，保证运行更流畅；</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支持HDMI</w:t>
            </w:r>
            <w:r>
              <w:rPr>
                <w:rFonts w:hint="eastAsia" w:ascii="宋体" w:hAnsi="宋体" w:eastAsia="宋体" w:cs="宋体"/>
                <w:color w:val="auto"/>
                <w:sz w:val="24"/>
                <w:szCs w:val="24"/>
                <w:highlight w:val="none"/>
                <w:lang w:eastAsia="zh-CN"/>
              </w:rPr>
              <w:t xml:space="preserve">串流</w:t>
            </w:r>
            <w:r>
              <w:rPr>
                <w:rFonts w:hint="eastAsia" w:ascii="宋体" w:hAnsi="宋体" w:eastAsia="宋体" w:cs="宋体"/>
                <w:color w:val="auto"/>
                <w:sz w:val="24"/>
                <w:szCs w:val="24"/>
                <w:highlight w:val="none"/>
              </w:rPr>
              <w:t xml:space="preserve">输入和HDMI双屏扩展；</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磁感应设计，听筒叉簧、home键都采用磁感应设计，可靠性更高；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支持双频</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与10M/100M/1000M有线两种网络形式，组网方式灵活；</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支持POE供电、电源适配器单独供电两种供电方式。</w:t>
            </w:r>
            <w:r/>
          </w:p>
          <w:p>
            <w:pP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软件功能：呼叫患者、呼叫医护、接收呼叫、多路通话、患者监护、宕机呼叫、呼叫托管、忙音反馈、录音录像、语音播报、未处理提醒、一键清除、呼叫记录、床位信息卡、病区统计、显示模式、患者详情、话筒广播、音频广播、闹钟提醒、护士定位、屏幕亮度调整、终端音量调整、回音消除、自动增益、噪音抑制、网络抖动抑制、硬件看门狗功能、硬件重启、延时上电。</w:t>
            </w:r>
            <w:r/>
          </w:p>
        </w:tc>
        <w:tc>
          <w:tcPr>
            <w:tcW w:w="567"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床头分机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采用安卓11.0及以上版本的操作系统，10.1英寸液晶屏，多点式电容触摸屏，分辨率1024*600；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金属抗菌外壳，集成呼叫状态指示灯；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采用4核1.8GHz的CPU搭配2G+16G的内存存储组合，保证程序稳定运行；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支持IC卡刷卡模块，支持护理、增援、呼叫物理按键；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支持连接卫生间分机，在为卫生间分机供电的同时转发呼叫信息；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支持POE供电、电源适配器单独供电两种供电方式。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软件功能：患者信息床头卡、宣教文章、接听处理呼叫、播放广播联动、护士定位、呼叫转移、菜单信息、定时息屏、分时音量控制、闹钟计时器</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门口分机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采用安卓11.0及以上版本的操作系统，15.6英寸竖屏全触摸操作，分辨率1920*1080；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采用4核1.8GHz的CPU搭配2G+16G的内存存储组合，保证程序稳定运行；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内置刷卡模块，护士刷卡后进入护士进入模式，方便护士日常定位；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集成7色门灯，可设置对应的呼叫类型，醒目提醒房间内患者呼叫；</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内置NFC模块，护士刷卡后进入护士进入模式，方便护士日常定位；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以太网支持10/100/1000Mbps自适应；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支持连接卫生间分机，在为卫生间分机供电的同时转发呼叫信息；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支持POE供电、电源适配器单独供电两种供电方式；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软件功能：房间信息展示、患者信息展示、护士进入、宣教文章展示、医护列表、发起呼叫、呼叫响应、门灯颜色配置、护士查房、模式切换。</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卫生间分机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超大红色显著紧急呼叫按钮及拉绳设计，更便于患者在紧急情</w:t>
            </w:r>
            <w:r>
              <w:rPr>
                <w:rFonts w:hint="eastAsia" w:ascii="宋体" w:hAnsi="宋体" w:eastAsia="宋体" w:cs="宋体"/>
                <w:color w:val="auto"/>
                <w:sz w:val="24"/>
                <w:szCs w:val="24"/>
                <w:highlight w:val="none"/>
                <w:lang w:eastAsia="zh-CN"/>
              </w:rPr>
              <w:t xml:space="preserve">况下</w:t>
            </w:r>
            <w:r>
              <w:rPr>
                <w:rFonts w:hint="eastAsia" w:ascii="宋体" w:hAnsi="宋体" w:eastAsia="宋体" w:cs="宋体"/>
                <w:color w:val="auto"/>
                <w:sz w:val="24"/>
                <w:szCs w:val="24"/>
                <w:highlight w:val="none"/>
              </w:rPr>
              <w:t xml:space="preserve">进行操作；</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呼叫时有明显的声光报警提示，并在病区中有广播提示，便于医护人员快速响应；</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防尘、防水工艺设计，适合卫生间、淋浴间等潮湿环境使用；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IP68防水等级，最高级别防水，品质可靠。</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走廊显示屏</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双面28.6英寸1920*540及以上高分辨率显示屏幕，方便用户从走廊两侧观看；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呼叫时显示患者房间号和床位号等信息，支持语音播报；</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无呼叫时可显示温馨提示内容，支持图文、视频等格式素材的信息发布。</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多参数生命体征采集设备</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物理特性：手持设备，便于携带，体积小，抗跌落；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屏幕尺寸≥5英寸，亮度（typ）350cd/m2，可视角度≥178°；</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屏幕分辨率1280×720及以上，满足高清显示要求；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电容触摸屏，支持最大10点触摸；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5）Wi-Fi</w:t>
            </w:r>
            <w:r>
              <w:rPr>
                <w:rFonts w:hint="eastAsia" w:ascii="宋体" w:hAnsi="宋体" w:eastAsia="宋体" w:cs="宋体"/>
                <w:color w:val="auto"/>
                <w:sz w:val="24"/>
                <w:szCs w:val="24"/>
                <w:highlight w:val="none"/>
              </w:rPr>
              <w:t xml:space="preserve">：支持2.4GHz/5GHz频段</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，支持如下路由协议标准：IEEE802.11a/b/g/n/ac；</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Android7.0及以上版本的；</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处理器：8核处理器，主频2GHz；</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内存：2GRAM，存储：16GROM；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内置锂聚合物电池，电池容量2900mAh；</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整机集成光线传感器，可根据环境光强度调节屏幕亮度；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内置麦克风，可语音拾取；</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内置1W扬声器，可用于播放声音，如播放提示音、报警音、通话等；</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内置前置摄像头，像素500W，可满足人脸识别或视频通话；</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整机支持重力感应功能，可根据设备方向，调整显示方向；</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左右对称按键设计，满足左右手使用；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条码扫描：内置一维码和二维码的扫描模块，可识别全部码制和所有特殊字符；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测量参数：主机身内置无创血压、血氧饱和度、脉率、红外体温检测模块；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血压测量规格：采用上臂式测量压力测量范围：0mmHg(0kPa)～300mmHg(40.0kPa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；压力精度：±3mmHg(±0.4kPa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，分辨率：1mmHg(0.1kPa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脉搏测量规格：测量范围：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30～250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bpm；精度：脉搏精度：±3bpm；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血氧测量规格：测量范围：0%～100%。精度：70%～100%：±2%；</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红外体温测量规格：测量范围：表温范围：22.0℃～43.0℃；体温范围：32.0℃～42.9℃；测量精度：35℃～42℃的测量范围内：±0.2℃；35℃～42℃的测量范围外：±0.3℃；</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包含移动台车。</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串口数据采集器</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以太网端口数量：1；</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速率：10/100Mbps，适应MDI/MDIX；</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串口端口数量：1；串口类型：RS-232；</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接头：8针RJ45；</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电磁隔离保护：内建1.5KV；</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接头：DB9针式；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支持LinuxCOM/TTY串口驱动程序模式，支持有线网络；</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全自动台式血压计</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测量方法：脉搏波智能升压示波法；</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收缩压测量范围：40-260mmHg</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舒张压测量范围：20-210mmHg</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心率范围：40-200bpm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准确性：±3mmHg</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安全系统：双重安全保护，当检测压力达到或超过290mmHg时，电磁阀自动松开并释放压力。紧急状态下，按下“急停”按钮时压力快速释放</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数据储存：9999组血压和脉率数据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电源：AC220V±10%，50/60Hz</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打印机：热敏打印；纸张尺寸58mm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测量臂围：17cm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42cm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语音播报：指示操作说明及测量结果，语言选项：中，英文。可选择开，关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外型尺寸：宽：310mm，长：476mm，高：300mm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电击保护方式：I类</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使用环境：温度+5℃-+40℃，相对湿度</w:t>
            </w:r>
            <w:r>
              <w:rPr>
                <w:rFonts w:hint="eastAsia" w:ascii="宋体" w:hAnsi="宋体" w:eastAsia="宋体" w:cs="宋体"/>
                <w:color w:val="auto"/>
                <w:sz w:val="24"/>
                <w:szCs w:val="24"/>
                <w:highlight w:val="none"/>
                <w:lang w:eastAsia="zh-CN"/>
              </w:rPr>
              <w:t xml:space="preserve">10%—95%</w:t>
            </w:r>
            <w:r>
              <w:rPr>
                <w:rFonts w:hint="eastAsia" w:ascii="宋体" w:hAnsi="宋体" w:eastAsia="宋体" w:cs="宋体"/>
                <w:color w:val="auto"/>
                <w:sz w:val="24"/>
                <w:szCs w:val="24"/>
                <w:highlight w:val="none"/>
              </w:rPr>
              <w:t xml:space="preserve">，大气压力70-106Kpa</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红外感应节能装置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肘部位置传感器，测量时主动提醒肘部位置是否正确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臂筒角度调节。可上下，左右调节，自动适应用户身高和角度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USB-A，USB-B，RS232，以太网，SD卡多种接口存储方式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气囊更换方便，袖带寿命到期后无需返厂维修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静音，测量过程中，噪音不超过45分贝</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5GPDA</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八核处理器，CPU主频≥2.0GHz；RAM≥4GB；ROM≥64GB；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操作系统：安卓12.0及以上版本；</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显示屏幕≥6.0英寸FHD显示屏，分辨率≥1440×720及以上，电容式触摸，支持戴手套/带水触摸；电源≥5000mAh锂离子充电电池；电池不可拆卸，支持快充QC3.0；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广域网传输：5G全网通，支持双卡双待；</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传输：支持2.4G和5G双频通信，支持IEEE802.11a/b/g/n/ac；蓝牙：采用Bluetooth5.1技术；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重量≤270g；拍照：后置摄像头≥1600万像素，前摄像头置≥500万像素；</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6）搭载专用扫描引擎；支持NFC模块，方便读取操作；USBTYPEC接口；</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材质：外壳为抑菌材料，可耐受酒精、过氧化氢、丙乙醇、聚维酮碘等化学品擦拭消毒；湿度：5%to95%RH无凝露状态；</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抗震和抗冲击：≥1000次0.5米滚动；静电放电（ESD）：±15kV空气放电，±8V直接放电；</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9）防水防尘工业等级≥IP67；跌落测试：经受多次从1.5米高度坠落；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产品证书：CCC、ROHS证书，入网许可证。</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桌面式指纹人脸一体机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1）摄像头：红外+彩色双高清摄像头</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2）用户容量：≥10000人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3）指纹容量：≥20000枚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4）记录容量：20万</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5）显示屏：2.8寸及以上液晶显示屏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6）操作按键：触控式4*4按键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7）通讯方式：USB、U盘、TCP/IP</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准入控制套件</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1、与手术排班系统关联，通过身份识别方式决定是否有进入手术室的权限，支持人脸指纹识别和刷卡。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1）显示屏尺寸：5英寸及以上LCD触摸显示屏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2）屏幕比例：16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3）分辨率：1024*600及以上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4）卡类型13.56MHz，Mifare、CPU序列号、CPU内容（需插PSAM卡）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5）刷脸验证时间：1：N人脸比对时间≤0.5S/人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2、医护入口协同一体机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1）手术排班提醒（集成手术排班系统，可通过是否有手术安排判断有无进入手术室的权限，同时提醒医护人员其当天手术安排情况，支持语音和画面显示）。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2）医师资格识别（集成HIS系统，识别医师资格，如住院医师、主治医师、主任医师等，对于高级别医师或指定医师，可分配高级权限）</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桌面式读写器</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支持的协议：ISO14443A、ISO14443B、ISO15693及915B</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RFID标签</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1)865-928MHZ协议ISO-18000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6C</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重量净重：0.70G内存≥96bits</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温度适用范围-40℃--180℃/40分钟耐压范围0-60bar供电方式无源卡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读取距离0-2000MM</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智能发鞋机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4）单台设备4个取鞋口，每个取鞋口离地不小于1100mm，无需弯腰取鞋，环形LED灯光及语音提示。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5）手术鞋存贮数量：108双/台</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功能：支持自动选择大、中、小号手术鞋类型自动发放，在自助取鞋机上刷IC卡或指纹或人脸或二维码权限后对应尺码的手术鞋，并自动关联登记。有良好的人机操作界面，可对于手术鞋按大、中、小号类别进行综合的管理。当各尺码手术鞋存仓数量低于设定值时，在管理系统中要弹出提醒信息框，提醒工作人员及时</w:t>
            </w:r>
            <w:r>
              <w:rPr>
                <w:rFonts w:hint="eastAsia" w:ascii="宋体" w:hAnsi="宋体" w:eastAsia="宋体" w:cs="宋体"/>
                <w:color w:val="auto"/>
                <w:sz w:val="24"/>
                <w:szCs w:val="24"/>
                <w:highlight w:val="none"/>
                <w:lang w:eastAsia="zh-CN"/>
              </w:rPr>
              <w:t xml:space="preserve">添加</w:t>
            </w:r>
            <w:r>
              <w:rPr>
                <w:rFonts w:hint="eastAsia" w:ascii="宋体" w:hAnsi="宋体" w:eastAsia="宋体" w:cs="宋体"/>
                <w:color w:val="auto"/>
                <w:sz w:val="24"/>
                <w:szCs w:val="24"/>
                <w:highlight w:val="none"/>
              </w:rPr>
              <w:t xml:space="preserve">类别及数量。</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智能收鞋机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2）传感单元：回收通道光幕感应功能、自动扫描功能，鞋子数量提示功能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4）显示模块：15.6寸及以上液晶十指电容触摸屏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5）外部接口要求：RJ45，RS485，DCOUT，ACOUT</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6）超频天线：支持18000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6C超高频近场协议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回收口离地800mm8）回收数量100双9）功能：自动回收使用过的手术鞋，回收机自动记录鞋的归还信息，并将信息回传至管理系统。手术鞋自动回收机超量提醒功能：超过设定值时，在管理系统中要弹出提醒信息框，提醒工作人员及时清理对应回收机内的污鞋。</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智能发衣机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4）主界面显示屏：21.5英寸及以上液晶十指电容触摸屏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5）单台设备4个取衣口，每个取衣口离地1100mm，无需弯腰取衣，环形LED灯光及语音提示，开门后自动推出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6）衣物存贮：120套/台。</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7）发衣方式：使用翻转货仓和精准推送发衣。</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功能：支持自动选择大、中、小号手术衣类型自动发放手术衣，在自助取衣机上刷IC卡或指纹或人脸或二维码权限后对应尺码的手术衣，并自动关联登记。有良好的人机操作界面，可对于手术衣按大、中、小号类别进行综合的管理。手术衣自助取放机库存提醒功能：当各尺码衣服库存数量低于设定值时，在管理系统中要弹出提醒信息框，提醒工作人员及时添加衣物的类别及数量。</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智能收衣机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2）传感单元：回收通道光幕感应功能、自动扫描功能，鞋子数量提示功能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4）显示模块：15.6寸及以上液晶十指电容触摸屏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5）外部接口要求：RJ45，RS485，DCOUT，ACOUT</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6）超频天线：支持18000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6C超高频近场协议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7）回收口离地800mm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8）回收数量80套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功能：自动回收使用过的洗手衣，回收机自动记录洗手衣的归还信息，并将信息回传至管理系统。洗手衣自动回收机超量提醒功能：超过设定值时，在管理系统中要弹出提醒信息框，提醒工作人员及时清理对应回收机内的污衣。</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智能更鞋柜控制主柜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显示模块：15英寸及以上液晶电阻触摸屏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识别模块：标配人脸、指纹、IC卡、二维码模块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通讯及管理要求：使用医院局域网通过TCP/IP协议实现远程通讯和管理，读取IC卡开柜。</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6）柜体尺寸：（高*宽*深）（1900-2100）*（300-390）*（400-450）mm；具体尺寸如有特殊调动，可根据现场实际情况定制。</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智能更鞋柜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柜体指标：柜体外观、颜色可定制；选用优质镀锌钢板，柜体钢板厚度不低于0.8mm；表面经去油、去酸、磷化、防锈处理最后静电喷涂。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箱门指标：箱门采用镀锌钢板制作；钢板厚度要求不低于0.8mm；背面增加加强筋。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电控锁：360度防撬、防软片插入，寿命≥70万次以上。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鞋柜内部有臭氧发生装置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鞋柜内部有红外检测装置。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单箱内部规格（宽*深）：270-320*（400-450）mm，高度根据实际需要设计，柜子总体高度不高于2000mm。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7）每套辅柜都需要配置机械锁，以便管理员能够在特殊情况下采取有效的应急措施，及时开锁。</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智能更衣柜控制主柜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显示模块：15英寸及以上液晶电阻触摸屏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识别模块：标配人脸、指纹、IC卡、二维码模块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通讯及管理要求：使用医院局域网通过TCP/IP协议实现远程通讯和管理，读取IC卡开柜。</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6）柜体尺寸：（高*宽*深）（1900-2100）*（300-390）*（400-450）mm；尺寸如有特殊调动，可根据现场实际情况定制。</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智能更衣柜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1）柜体要求：箱门内部有一到两层；柜体外观、颜色可定制；选用优质镀锌钢板，柜体钢板厚度不低于0.8mm；表面经去油、去酸、磷化、防锈处理最后静电喷涂。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2）箱门要求：箱门采用镀锌钢板制作；钢板厚度要求不低于0.8mm；背面增加加强筋。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3）电控锁：360度防撬、防软片插入，寿命70万次以上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4）衣柜内部有红外检测装置。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5）更衣柜单箱内部规格（宽*深）：（270-320）*（400-450）mm，高度根据实际需要设计，柜子总体高度不高于2000mm。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6）衣柜配备层板及挂衣杆、挂衣钩、面容镜等。</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7）每套主辅柜都需要配置机械锁，以便管理员能够在特殊情况下采取有效的应急措施，及时开锁。</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528</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系统集成</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对信息系统的软件、信息、数据和技术的集成及系统调试、测试等。</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63"/>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eastAsia="zh-CN"/>
        </w:rPr>
        <w:t xml:space="preserve">  </w:t>
      </w:r>
      <w:r/>
    </w:p>
    <w:p>
      <w:pPr>
        <w:numPr>
          <w:ilvl w:val="0"/>
          <w:numId w:val="12"/>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商务需求</w:t>
      </w:r>
      <w:r/>
    </w:p>
    <w:p>
      <w:pPr>
        <w:pStyle w:val="817"/>
        <w:numPr>
          <w:ilvl w:val="1"/>
          <w:numId w:val="0"/>
        </w:numPr>
        <w:ind w:left="0" w:firstLine="482"/>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（一）</w:t>
      </w:r>
      <w:r>
        <w:rPr>
          <w:rFonts w:hint="eastAsia" w:ascii="宋体" w:hAnsi="宋体" w:eastAsia="宋体" w:cs="宋体"/>
          <w:color w:val="auto"/>
          <w:sz w:val="24"/>
          <w:highlight w:val="none"/>
          <w:lang w:eastAsia="zh-CN"/>
        </w:rPr>
        <w:t xml:space="preserve">服务要求</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1）提供全方位、及时而有效的技术支持和服务。</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本项目涉及的硬件设备，所有交付设备自竣工验收合格之日起提供五年免费质保服务，在质保服务期内，免费更换保修需要的所有备件及需要定期更换的耗品，包含所有人工及保养，对于上述硬件设备自带的微系统，中标人应同步提供相应的调试、测试和维保服务。</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响应要求：中标人应承诺7×24小时电话、远程响应及现场服务响应，0.5小时内做出明确响应安排，4小时内排除故障或采用应急替代方案。在远程支持难以满足服务要求需现场服务的，具有解决故障能力的工程师应在2小时内到达现场。</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4）应定期征求采购人的意见，反馈采购人的建议，对客户系统运行提供合理化建议。</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5）提供完善的系统使用培训服务，包括对系统管理人员、系统使用人员、系统维护人员等进行必要的使用培训。</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6）自系统交付使用后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须指定专门运维人员，进行系统日常维护并随时响应采购人维护需求，如产品存在缺陷和漏洞的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须对相关问题提供免费技术维护和升级服务。</w:t>
      </w:r>
      <w:r/>
    </w:p>
    <w:p>
      <w:pPr>
        <w:contextualSpacing/>
        <w:ind w:firstLine="48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中标供应商提供1年7*24小时热线服务响应和支持，维保人员到场后，1小时内应排查出原因并拿出维修方案。硬件故障应在到场后4小时内进行备件（如现场有备件）更换。现场无法修复的故障，可将故障设备外带修理，但应提供替代设备，保证系统业务的正常工作。外带设备维修后应承担安装及调试的义务，并在维修后7日内回访一次，确保维保后系统的正常工作。所有软硬件设备均提供免费维修，故障修复后，需由院方或者使用方签字确认。对于影响到医院业务正常运行的各类故障，能提供条件允许的最快现场响应与技术支持。</w:t>
      </w:r>
      <w:r/>
    </w:p>
    <w:p>
      <w:pPr>
        <w:pStyle w:val="817"/>
        <w:numPr>
          <w:ilvl w:val="1"/>
          <w:numId w:val="0"/>
        </w:numPr>
        <w:ind w:left="0" w:firstLine="482"/>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（二）</w:t>
      </w:r>
      <w:r>
        <w:rPr>
          <w:rFonts w:hint="eastAsia" w:ascii="宋体" w:hAnsi="宋体" w:eastAsia="宋体" w:cs="宋体"/>
          <w:color w:val="auto"/>
          <w:sz w:val="24"/>
          <w:highlight w:val="none"/>
          <w:lang w:eastAsia="zh-CN"/>
        </w:rPr>
        <w:t xml:space="preserve">运维服务及应急响应要求</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有良好的服务理念和完整的售后服务体系，能够提供完善的运维服务和应急响应。对于运维服务，投标人应就日常保养工作的处理周期作出说明，提供完整可行的维护保养具体工作方案，包括机械设备润滑保养、设备除尘保养、易损件检查、设备使用频率动态调整实施方案，在预防、预警信息的报告工作方面，投标人应具备合理的分级响应程序，为突发事件提供科学的应急响应预案及有效的处置方案。</w:t>
      </w:r>
      <w:r/>
    </w:p>
    <w:p>
      <w:pPr>
        <w:contextualSpacing/>
        <w:ind w:firstLine="480"/>
        <w:pageBreakBefore w:val="0"/>
        <w:spacing w:line="360" w:lineRule="auto"/>
        <w:widowControl/>
        <w:rPr>
          <w:rFonts w:hint="eastAsia" w:ascii="宋体" w:hAnsi="宋体"/>
          <w:color w:val="auto"/>
          <w:sz w:val="24"/>
          <w:highlight w:val="none"/>
        </w:rPr>
      </w:pPr>
      <w:r>
        <w:rPr>
          <w:rFonts w:hint="eastAsia" w:ascii="宋体" w:hAnsi="宋体" w:eastAsia="宋体" w:cs="宋体"/>
          <w:color w:val="auto"/>
          <w:sz w:val="24"/>
          <w:highlight w:val="none"/>
        </w:rPr>
        <w:t xml:space="preserve">2）投标人应参照项目运维服务及应急响应的时限要求、“医院信息化建设2024项目”绩效要求，进行量化考核评价，相关指标与标准如下：</w:t>
      </w:r>
      <w:r/>
    </w:p>
    <w:tbl>
      <w:tblPr>
        <w:tblStyle w:val="82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628"/>
        <w:gridCol w:w="1801"/>
        <w:gridCol w:w="2488"/>
        <w:gridCol w:w="2347"/>
        <w:gridCol w:w="1104"/>
      </w:tblGrid>
      <w:tr>
        <w:trPr>
          <w:trHeight w:val="300"/>
        </w:trPr>
        <w:tc>
          <w:tcPr>
            <w:tcW w:w="230" w:type="pct"/>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绩效指标</w:t>
            </w:r>
            <w:r/>
          </w:p>
        </w:tc>
        <w:tc>
          <w:tcPr>
            <w:tcW w:w="82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一级指标</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二级指标</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三级指标</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实现指标值</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trHeight w:val="27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restart"/>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设备使用及维保指标（60分）</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设备使用情况（20分）</w:t>
            </w:r>
            <w:r/>
          </w:p>
        </w:tc>
        <w:tc>
          <w:tcPr>
            <w:tcW w:w="12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提供不少于2次现场使用人员培训后，受训人员能够快速掌握设备使用方法，并能及时为新的使用人员提供培训支持，保障设备正常使用。</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确保系统稳定、安全、高效运行，及时支持培训使用工作，按季度评价使用情况，每接到一次设备故障投诉扣2分。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日常维保服务（20分）</w:t>
            </w:r>
            <w:r/>
          </w:p>
        </w:tc>
        <w:tc>
          <w:tcPr>
            <w:tcW w:w="12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提供7×24小时多种方式的维保服务响应，包括在线申报受理及技术支持服务、全天候电话响应、网上咨询、远程升级技术支持。</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系统和设备实际运行稳定性评价，按季度评价维保服务工作，每接到一次日常维保工作缺位投诉扣2分。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7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应急响应工作（20分）</w:t>
            </w:r>
            <w:r/>
          </w:p>
        </w:tc>
        <w:tc>
          <w:tcPr>
            <w:tcW w:w="12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应急报修在15分钟内响应共同协商解决方案，2小时内到达指定现场，落实故障排除工作。</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按季度评价应急响应工作，每接到一次应急响应工作延时投诉扣2分。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效益指标（20分）</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可持续影响指标（20分）</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系统正常使用年限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=5年</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按季度评价可持续运行指标，超过1次系统宕机，未及时排除导致影响工作，扣5分。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restart"/>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满意度指标（20分）</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服务对象满意度指标（10分）</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使用人员满意度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=95%</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通过问卷形式，按季度评价，平均满意度＜95%，扣5分。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7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服务对象满意度指标（10分）</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管理部门满意度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=98%</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通过问卷形式，按季度评价，平均满意度＜95%，扣5分。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运维服务期内，采购人每半年对</w:t>
      </w:r>
      <w:r>
        <w:rPr>
          <w:rFonts w:hint="eastAsia" w:ascii="宋体" w:hAnsi="宋体" w:eastAsia="宋体"/>
          <w:color w:val="auto"/>
          <w:sz w:val="24"/>
          <w:highlight w:val="none"/>
          <w:lang w:val="en-US" w:eastAsia="zh-CN"/>
        </w:rPr>
        <w:t xml:space="preserve">中标</w:t>
      </w:r>
      <w:r>
        <w:rPr>
          <w:rFonts w:hint="eastAsia" w:ascii="宋体" w:hAnsi="宋体"/>
          <w:color w:val="auto"/>
          <w:sz w:val="24"/>
          <w:highlight w:val="none"/>
        </w:rPr>
        <w:t xml:space="preserve">供应商的运维服务工作</w:t>
      </w:r>
      <w:r>
        <w:rPr>
          <w:rFonts w:hint="eastAsia" w:ascii="宋体" w:hAnsi="宋体" w:eastAsia="宋体"/>
          <w:color w:val="auto"/>
          <w:sz w:val="24"/>
          <w:highlight w:val="none"/>
          <w:lang w:eastAsia="zh-CN"/>
        </w:rPr>
        <w:t xml:space="preserve">开展</w:t>
      </w:r>
      <w:r>
        <w:rPr>
          <w:rFonts w:hint="eastAsia" w:ascii="宋体" w:hAnsi="宋体"/>
          <w:color w:val="auto"/>
          <w:sz w:val="24"/>
          <w:highlight w:val="none"/>
        </w:rPr>
        <w:t xml:space="preserve">综合考核，考核内容见上表。考核结果按得分划档并执行相应处理措施，考核结果将作为供应商履约评价的核心依据：</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考核得分≥90分：评定为合格等次；</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考核得分＜90分：评定为不合格等次，</w:t>
      </w:r>
      <w:r>
        <w:rPr>
          <w:rFonts w:hint="eastAsia" w:ascii="宋体" w:hAnsi="宋体" w:eastAsia="宋体"/>
          <w:color w:val="auto"/>
          <w:sz w:val="24"/>
          <w:highlight w:val="none"/>
          <w:lang w:val="en-US" w:eastAsia="zh-CN"/>
        </w:rPr>
        <w:t xml:space="preserve">中标</w:t>
      </w:r>
      <w:r>
        <w:rPr>
          <w:rFonts w:hint="eastAsia" w:ascii="宋体" w:hAnsi="宋体"/>
          <w:color w:val="auto"/>
          <w:sz w:val="24"/>
          <w:highlight w:val="none"/>
        </w:rPr>
        <w:t xml:space="preserve">供应商需在5个工作日内针对考核发现的问题提交书面整改报告及整改计划，明确整改措施、责任人和完成时限，采购人跟踪验证整改落实情况。</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维保期满考核合格的，按合同约定返还履约保证金；免费运维维保期间每出现一次考核不合格情况，相应扣除履约保证金5000元。</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因</w:t>
      </w:r>
      <w:r>
        <w:rPr>
          <w:rFonts w:hint="eastAsia" w:ascii="宋体" w:hAnsi="宋体" w:eastAsia="宋体"/>
          <w:color w:val="auto"/>
          <w:sz w:val="24"/>
          <w:highlight w:val="none"/>
          <w:lang w:val="en-US" w:eastAsia="zh-CN"/>
        </w:rPr>
        <w:t xml:space="preserve">中标供应商</w:t>
      </w:r>
      <w:r>
        <w:rPr>
          <w:rFonts w:hint="eastAsia" w:ascii="宋体" w:hAnsi="宋体"/>
          <w:color w:val="auto"/>
          <w:sz w:val="24"/>
          <w:highlight w:val="none"/>
        </w:rPr>
        <w:t xml:space="preserve">运维不当导致系统故障、数据</w:t>
      </w:r>
      <w:r>
        <w:rPr>
          <w:rFonts w:hint="eastAsia" w:ascii="宋体" w:hAnsi="宋体" w:eastAsia="宋体"/>
          <w:color w:val="auto"/>
          <w:sz w:val="24"/>
          <w:highlight w:val="none"/>
          <w:lang w:eastAsia="zh-CN"/>
        </w:rPr>
        <w:t xml:space="preserve">泄漏</w:t>
      </w:r>
      <w:r>
        <w:rPr>
          <w:rFonts w:hint="eastAsia" w:ascii="宋体" w:hAnsi="宋体"/>
          <w:color w:val="auto"/>
          <w:sz w:val="24"/>
          <w:highlight w:val="none"/>
        </w:rPr>
        <w:t xml:space="preserve">等问题，除按本办法扣罚外，</w:t>
      </w:r>
      <w:r>
        <w:rPr>
          <w:rFonts w:hint="eastAsia" w:ascii="宋体" w:hAnsi="宋体" w:eastAsia="宋体"/>
          <w:color w:val="auto"/>
          <w:sz w:val="24"/>
          <w:highlight w:val="none"/>
          <w:lang w:val="en-US" w:eastAsia="zh-CN"/>
        </w:rPr>
        <w:t xml:space="preserve">中标供应商</w:t>
      </w:r>
      <w:r>
        <w:rPr>
          <w:rFonts w:hint="eastAsia" w:ascii="宋体" w:hAnsi="宋体"/>
          <w:color w:val="auto"/>
          <w:sz w:val="24"/>
          <w:highlight w:val="none"/>
        </w:rPr>
        <w:t xml:space="preserve">需承担招标人全部直接经济损失；情节严重的，追究其法律责任。</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 运维服务期内，提供7×24小时故障申报受理及技术在线支持服务。全天候电话响应、网上咨询、远程升级技术支持。如系统出现故障不能正常运行，公司在接到医院故障通知后，将在15分钟内安排技术人员进行软件维护，按照国家及行业标准对故障进行及时处理，30分钟内完成故障恢复，确保系统正常运行。</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运维服务期内，承诺现场服务：自收到采购人电话等维修要求后，报修响应时间15分钟内，共同协商解决方案。若需要工程师前往现场，除约定到达时间外，一般在2小时内到达指定现场。工程师在到达现场后，经现场调查后，除约定时间外，一般在2小时内排除故障。</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 运维服务期内，承诺设立本地化售后服务机构及配备常驻工程师：投标人在本市设有售后服务机构，后期可根据采购人需求，为本次项目配置专属技术工程师，提供专属优质维保服务；提供合同约定的技术支持、服务请求、故障报修、技术咨询的单点专员联系，同时加强系统的监控、巡检及管理。对所有问题的记录、分派、跟踪和管理、分析和报告。</w:t>
      </w:r>
      <w:r/>
    </w:p>
    <w:p>
      <w:pPr>
        <w:pStyle w:val="817"/>
        <w:numPr>
          <w:ilvl w:val="1"/>
          <w:numId w:val="0"/>
        </w:numPr>
        <w:ind w:left="0" w:firstLine="482"/>
        <w:jc w:val="both"/>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（三）</w:t>
      </w:r>
      <w:r>
        <w:rPr>
          <w:rFonts w:hint="eastAsia" w:ascii="宋体" w:hAnsi="宋体" w:eastAsia="宋体" w:cs="宋体"/>
          <w:color w:val="auto"/>
          <w:sz w:val="24"/>
          <w:highlight w:val="none"/>
          <w:lang w:eastAsia="zh-CN"/>
        </w:rPr>
        <w:t xml:space="preserve">保密责任要求</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在本次招标及服务履行期间了解到的采购人信息，包括标书中提供的采购人系统信息及数据信息等内容，未经采购人书面同意，不得泄露于第三者。服务期满或终止后亦同。双方应另行签订保密及网络安全协议。</w:t>
      </w:r>
      <w:r/>
    </w:p>
    <w:p>
      <w:pPr>
        <w:pStyle w:val="817"/>
        <w:numPr>
          <w:ilvl w:val="1"/>
          <w:numId w:val="0"/>
        </w:numPr>
        <w:ind w:left="0" w:firstLine="482"/>
        <w:jc w:val="both"/>
        <w:pageBreakBefore w:val="0"/>
        <w:spacing w:before="0" w:after="0" w:line="360" w:lineRule="auto"/>
        <w:tabs>
          <w:tab w:val="left" w:pos="210" w:leader="none"/>
        </w:tabs>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（四）</w:t>
      </w:r>
      <w:r>
        <w:rPr>
          <w:rFonts w:hint="eastAsia" w:ascii="宋体" w:hAnsi="宋体" w:eastAsia="宋体" w:cs="宋体"/>
          <w:color w:val="auto"/>
          <w:sz w:val="24"/>
          <w:highlight w:val="none"/>
          <w:lang w:eastAsia="zh-CN"/>
        </w:rPr>
        <w:t xml:space="preserve">培训要求</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提供完善的培训方案，培训方案包含培训内容、培训课时等。系统的培训工作要在系统上线试运行前实施，并在培训实施前编制专门的培训材料。投标人应承诺在设备上线阶段和验收阶段，提供不低于2次现场培训，受训人员应覆盖全面，包括主要技术人员、骨干用户、普通用户和运维期间的新用户。</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1）对采购人主要技术人员和骨干用户提供使用及维护培训，对普通用户提供临床医药护技分批使用培训；</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2）所提供的培训课程表随投标文件一起提交；</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3）投标人必须为所有被培训人员提供培训用文字资料和讲义等相关用品，所有的资料必须是中文书写。</w:t>
      </w:r>
      <w:r/>
    </w:p>
    <w:p>
      <w:pPr>
        <w:pStyle w:val="817"/>
        <w:numPr>
          <w:ilvl w:val="1"/>
          <w:numId w:val="0"/>
        </w:numPr>
        <w:ind w:left="0" w:firstLine="482"/>
        <w:jc w:val="both"/>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（五）</w:t>
      </w:r>
      <w:r>
        <w:rPr>
          <w:rFonts w:hint="eastAsia" w:ascii="宋体" w:hAnsi="宋体" w:eastAsia="宋体" w:cs="宋体"/>
          <w:color w:val="auto"/>
          <w:sz w:val="24"/>
          <w:highlight w:val="none"/>
          <w:lang w:eastAsia="zh-CN"/>
        </w:rPr>
        <w:t xml:space="preserve">交货条件及供货期要求</w:t>
      </w:r>
      <w:r/>
    </w:p>
    <w:p>
      <w:pPr>
        <w:ind w:firstLine="480"/>
        <w:jc w:val="both"/>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供货期为项目合同签订后的5个月。货物的外观、包装、运输应按国家有关规定或相关部颁标准执行。如因</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包装或运输不当等原因造成损坏或丢失，应由</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负责调换或补缺，如因此导致</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逾期交付货物的，</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还应承担逾期交付的违约责任。</w:t>
      </w:r>
      <w:r/>
    </w:p>
    <w:p>
      <w:pPr>
        <w:ind w:firstLine="480"/>
        <w:jc w:val="both"/>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运输及到货地点：由</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负责办理运输并承担所有费用，直接送到</w:t>
      </w:r>
      <w:r>
        <w:rPr>
          <w:rFonts w:hint="eastAsia" w:ascii="宋体" w:hAnsi="宋体" w:eastAsia="宋体" w:cs="宋体"/>
          <w:bCs/>
          <w:color w:val="auto"/>
          <w:sz w:val="24"/>
          <w:highlight w:val="none"/>
          <w:lang w:val="en-US" w:eastAsia="zh-CN"/>
        </w:rPr>
        <w:t xml:space="preserve">采购人</w:t>
      </w:r>
      <w:r>
        <w:rPr>
          <w:rFonts w:hint="eastAsia" w:ascii="宋体" w:hAnsi="宋体" w:eastAsia="宋体" w:cs="宋体"/>
          <w:bCs/>
          <w:color w:val="auto"/>
          <w:sz w:val="24"/>
          <w:highlight w:val="none"/>
        </w:rPr>
        <w:t xml:space="preserve">指定地点，即：以合同书上的地点为准。</w:t>
      </w:r>
      <w:r/>
    </w:p>
    <w:p>
      <w:pPr>
        <w:pStyle w:val="817"/>
        <w:numPr>
          <w:ilvl w:val="1"/>
          <w:numId w:val="0"/>
        </w:numPr>
        <w:ind w:left="0" w:firstLine="482"/>
        <w:jc w:val="both"/>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（六）</w:t>
      </w:r>
      <w:r>
        <w:rPr>
          <w:rFonts w:hint="eastAsia" w:ascii="宋体" w:hAnsi="宋体" w:eastAsia="宋体" w:cs="宋体"/>
          <w:color w:val="auto"/>
          <w:sz w:val="24"/>
          <w:highlight w:val="none"/>
          <w:lang w:eastAsia="zh-CN"/>
        </w:rPr>
        <w:t xml:space="preserve">其他要求</w:t>
      </w:r>
      <w:r/>
    </w:p>
    <w:p>
      <w:pPr>
        <w:contextualSpacing/>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投标人供货前先与采购人联系商量送货时间和地点，经同意后方可送货。</w:t>
      </w:r>
      <w:r/>
    </w:p>
    <w:p>
      <w:pPr>
        <w:contextualSpacing/>
        <w:ind w:firstLine="480"/>
        <w:jc w:val="both"/>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w:t>
      </w:r>
      <w:r>
        <w:rPr>
          <w:rFonts w:ascii="宋体" w:hAnsi="宋体" w:eastAsia="宋体" w:cs="宋体"/>
          <w:color w:val="auto"/>
          <w:sz w:val="24"/>
          <w:szCs w:val="24"/>
          <w:highlight w:val="none"/>
        </w:rPr>
        <w:t xml:space="preserve">中标单位</w:t>
      </w:r>
      <w:r>
        <w:rPr>
          <w:rFonts w:hint="eastAsia" w:ascii="宋体" w:hAnsi="宋体" w:eastAsia="宋体" w:cs="宋体"/>
          <w:color w:val="auto"/>
          <w:sz w:val="24"/>
          <w:szCs w:val="24"/>
          <w:highlight w:val="none"/>
          <w:lang w:val="en-US" w:eastAsia="zh-CN"/>
        </w:rPr>
        <w:t xml:space="preserve">中标后需按照</w:t>
      </w:r>
      <w:r>
        <w:rPr>
          <w:rFonts w:ascii="宋体" w:hAnsi="宋体" w:eastAsia="宋体" w:cs="宋体"/>
          <w:color w:val="auto"/>
          <w:sz w:val="24"/>
          <w:szCs w:val="24"/>
          <w:highlight w:val="none"/>
        </w:rPr>
        <w:t xml:space="preserve">中标金额的 10%缴纳履约保证金；项目服务周期届满且中标单位完全履约无违约情形的，采购人在收到退还申请及验收合格证明后全额无息退还</w:t>
      </w:r>
      <w:r>
        <w:rPr>
          <w:rFonts w:hint="eastAsia" w:ascii="宋体" w:hAnsi="宋体" w:eastAsia="宋体" w:cs="宋体"/>
          <w:color w:val="auto"/>
          <w:sz w:val="24"/>
          <w:szCs w:val="24"/>
          <w:highlight w:val="none"/>
          <w:lang w:eastAsia="zh-CN"/>
        </w:rPr>
        <w:t xml:space="preserve">。</w:t>
      </w:r>
      <w:r/>
    </w:p>
    <w:p>
      <w:pPr>
        <w:pStyle w:val="817"/>
        <w:numPr>
          <w:ilvl w:val="1"/>
          <w:numId w:val="0"/>
        </w:numPr>
        <w:ind w:left="0" w:firstLine="482"/>
        <w:jc w:val="both"/>
        <w:pageBreakBefore w:val="0"/>
        <w:spacing w:before="0" w:after="0"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（七）付款方式：</w:t>
      </w:r>
      <w:r/>
    </w:p>
    <w:p>
      <w:pPr>
        <w:ind w:firstLine="480"/>
        <w:jc w:val="both"/>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合同签订生效后</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个工作日内，采购人向中标人支付合同总额的30%作为首付款；初验合格后</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个工作日内，支付合同总额的40%；终验合格后</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个工作日内，支付合同总额的30%。</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bCs/>
          <w:color w:val="auto"/>
          <w:sz w:val="24"/>
          <w:highlight w:val="none"/>
        </w:rPr>
        <w:t xml:space="preserve">适用本国产品标准的货物具体是指《政</w:t>
      </w:r>
      <w:r>
        <w:rPr>
          <w:rFonts w:hint="eastAsia" w:ascii="宋体" w:hAnsi="宋体"/>
          <w:bCs/>
          <w:color w:val="auto"/>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211"/>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11"/>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11"/>
        <w:spacing w:before="0" w:after="0"/>
        <w:rPr>
          <w:rFonts w:cs="Arial"/>
          <w:color w:val="auto"/>
          <w:highlight w:val="none"/>
        </w:rPr>
      </w:pPr>
      <w:r>
        <w:rPr>
          <w:rFonts w:hint="eastAsia" w:cs="Arial"/>
          <w:color w:val="auto"/>
          <w:highlight w:val="none"/>
        </w:rPr>
        <w:t xml:space="preserve">比较与评价采用综合评分法。</w:t>
      </w:r>
      <w:r/>
    </w:p>
    <w:p>
      <w:pPr>
        <w:pStyle w:val="1211"/>
        <w:spacing w:before="0" w:after="0"/>
        <w:rPr>
          <w:rStyle w:val="905"/>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11"/>
        <w:spacing w:before="0" w:after="0"/>
        <w:rPr>
          <w:rFonts w:cs="Arial"/>
          <w:b/>
          <w:bCs w:val="0"/>
          <w:color w:val="auto"/>
          <w:highlight w:val="none"/>
          <w:shd w:val="clear" w:color="ffffff" w:fill="d9d9d9"/>
        </w:rPr>
      </w:pPr>
      <w:r>
        <w:rPr>
          <w:rFonts w:hint="eastAsia" w:ascii="宋体" w:hAnsi="宋体"/>
          <w:b/>
          <w:bCs w:val="0"/>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11"/>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w:t>
      </w:r>
      <w:r>
        <w:rPr>
          <w:rFonts w:hint="eastAsia" w:ascii="宋体" w:hAnsi="宋体"/>
          <w:bCs/>
          <w:color w:val="auto"/>
          <w:sz w:val="24"/>
          <w:szCs w:val="24"/>
          <w:highlight w:val="none"/>
        </w:rPr>
        <w:t xml:space="preserve">价格扣除。投标人须在《联合体各方共同投标协议》中明确联合体各方是否存在上述关系，如未进行明确的亦不得享受价格扣除。</w:t>
      </w:r>
      <w:r/>
    </w:p>
    <w:p>
      <w:pPr>
        <w:ind w:firstLine="480"/>
        <w:jc w:val="left"/>
        <w:spacing w:line="360" w:lineRule="auto"/>
        <w:rPr>
          <w:rFonts w:hint="eastAsia" w:ascii="宋体" w:hAnsi="宋体"/>
          <w:b/>
          <w:bCs/>
          <w:color w:val="auto"/>
          <w:sz w:val="24"/>
          <w:szCs w:val="24"/>
          <w:highlight w:val="none"/>
        </w:rPr>
      </w:pPr>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.对本国产品的支持政策：根据《国务院</w:t>
      </w:r>
      <w:r>
        <w:rPr>
          <w:rFonts w:hint="eastAsia" w:ascii="宋体"/>
          <w:b/>
          <w:bCs w:val="0"/>
          <w:color w:val="auto"/>
          <w:sz w:val="24"/>
          <w:szCs w:val="24"/>
          <w:highlight w:val="none"/>
        </w:rPr>
        <w:t xml:space="preserve">办公厅关于在政府采购</w:t>
      </w:r>
      <w:r>
        <w:rPr>
          <w:rFonts w:hint="eastAsia" w:ascii="宋体"/>
          <w:b/>
          <w:bCs/>
          <w:color w:val="auto"/>
          <w:sz w:val="24"/>
          <w:szCs w:val="24"/>
          <w:highlight w:val="none"/>
        </w:rPr>
        <w:t xml:space="preserve">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w:t>
      </w:r>
      <w:r>
        <w:rPr>
          <w:rFonts w:hint="eastAsia" w:ascii="宋体" w:hAnsi="宋体"/>
          <w:bCs/>
          <w:color w:val="auto"/>
          <w:sz w:val="24"/>
          <w:szCs w:val="24"/>
          <w:highlight w:val="none"/>
        </w:rPr>
        <w:t xml:space="preserve">投标（响应）文件中提供《关于符合本国产品标准的声明函》（格式见第六章）或财政部门会同有关部门规定的有关证明文件。供应商提供的《关于符合本国产品标准的声明函》应按要求逐一、准确填写“产品名称”、“厂名”、“生产厂址”三项信息（斜线划除的地方无需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bCs/>
          <w:color w:val="auto"/>
          <w:sz w:val="24"/>
          <w:szCs w:val="24"/>
          <w:highlight w:val="none"/>
          <w:lang w:val="en-US" w:eastAsia="zh-CN"/>
        </w:rPr>
        <w:t xml:space="preserve">细目</w:t>
      </w:r>
      <w:r>
        <w:rPr>
          <w:rFonts w:hint="eastAsia" w:ascii="宋体" w:hAnsi="宋体"/>
          <w:bCs/>
          <w:color w:val="auto"/>
          <w:sz w:val="24"/>
          <w:szCs w:val="24"/>
          <w:highlight w:val="none"/>
        </w:rPr>
        <w:t xml:space="preserve">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1000000×[1-（10%+20%）]=700000元</w:t>
      </w:r>
      <w:r/>
    </w:p>
    <w:p>
      <w:pPr>
        <w:pStyle w:val="1211"/>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评分标准</w:t>
      </w:r>
      <w:r/>
    </w:p>
    <w:p>
      <w:pPr>
        <w:pStyle w:val="1211"/>
        <w:ind w:firstLine="422"/>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b/>
          <w:color w:val="auto"/>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numPr>
          <w:ilvl w:val="0"/>
          <w:numId w:val="0"/>
        </w:numPr>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rPr>
        <w:t xml:space="preserve">1、价格分（3</w:t>
      </w:r>
      <w:r>
        <w:rPr>
          <w:rFonts w:ascii="宋体" w:hAnsi="宋体"/>
          <w:b/>
          <w:bCs/>
          <w:color w:val="auto"/>
          <w:sz w:val="24"/>
          <w:highlight w:val="none"/>
        </w:rPr>
        <w:t xml:space="preserve">0</w:t>
      </w:r>
      <w:r>
        <w:rPr>
          <w:rFonts w:hint="eastAsia" w:ascii="宋体" w:hAnsi="宋体"/>
          <w:b/>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采用低价优先法计算，即满足招标文件要求且投标价格最低的投标报价为评标基准价，其价格分为满分。其他投标人的投标报价得分统一按照下列公式计算：</w:t>
      </w:r>
      <w:r/>
    </w:p>
    <w:p>
      <w:pPr>
        <w:ind w:firstLine="480"/>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w:t>
      </w:r>
      <w:r>
        <w:rPr>
          <w:rFonts w:ascii="宋体" w:hAnsi="宋体"/>
          <w:bCs/>
          <w:color w:val="auto"/>
          <w:sz w:val="24"/>
          <w:highlight w:val="none"/>
        </w:rPr>
        <w:t xml:space="preserve">=</w:t>
      </w:r>
      <w:r>
        <w:rPr>
          <w:rFonts w:hint="eastAsia" w:ascii="宋体" w:hAnsi="宋体"/>
          <w:bCs/>
          <w:color w:val="auto"/>
          <w:sz w:val="24"/>
          <w:highlight w:val="none"/>
        </w:rPr>
        <w:t xml:space="preserve">（评标基准价／投标报价）×价格权值×</w:t>
      </w:r>
      <w:r>
        <w:rPr>
          <w:rFonts w:ascii="宋体" w:hAnsi="宋体"/>
          <w:bCs/>
          <w:color w:val="auto"/>
          <w:sz w:val="24"/>
          <w:highlight w:val="none"/>
        </w:rPr>
        <w:t xml:space="preserve">100</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关于价格扣除详见本章第二部分“一、落实政府采购政策的价格调整”。</w:t>
      </w:r>
      <w:r/>
    </w:p>
    <w:p>
      <w:pPr>
        <w:numPr>
          <w:ilvl w:val="4"/>
          <w:numId w:val="0"/>
        </w:numPr>
        <w:spacing w:line="360" w:lineRule="auto"/>
        <w:tabs>
          <w:tab w:val="left" w:pos="525" w:leader="none"/>
          <w:tab w:val="left" w:pos="945" w:leader="none"/>
          <w:tab w:val="left" w:pos="1155" w:leader="none"/>
          <w:tab w:val="left" w:pos="3823" w:leader="none"/>
        </w:tabs>
        <w:rPr>
          <w:rFonts w:hint="eastAsia" w:ascii="宋体" w:hAnsi="宋体" w:eastAsia="Arial" w:cs="Times New Roman"/>
          <w:b/>
          <w:bCs/>
          <w:color w:val="auto"/>
          <w:sz w:val="24"/>
          <w:szCs w:val="22"/>
          <w:highlight w:val="none"/>
          <w:lang w:val="en-US" w:eastAsia="zh-CN" w:bidi="ar-SA"/>
        </w:rPr>
      </w:pPr>
      <w:r>
        <w:rPr>
          <w:rFonts w:hint="eastAsia" w:ascii="宋体" w:hAnsi="宋体" w:eastAsia="宋体" w:cs="宋体"/>
          <w:b/>
          <w:bCs/>
          <w:color w:val="auto"/>
          <w:sz w:val="24"/>
          <w:szCs w:val="24"/>
          <w:highlight w:val="none"/>
        </w:rPr>
        <w:t xml:space="preserve">2、商务标部分</w:t>
      </w:r>
      <w:r>
        <w:rPr>
          <w:rFonts w:hint="eastAsia" w:ascii="宋体" w:hAnsi="宋体"/>
          <w:b/>
          <w:bCs/>
          <w:color w:val="auto"/>
          <w:sz w:val="24"/>
          <w:highlight w:val="none"/>
        </w:rPr>
        <w:t xml:space="preserve">（</w:t>
      </w:r>
      <w:r>
        <w:rPr>
          <w:rFonts w:hint="eastAsia" w:ascii="宋体" w:hAnsi="宋体" w:eastAsia="宋体"/>
          <w:b/>
          <w:bCs/>
          <w:color w:val="auto"/>
          <w:sz w:val="24"/>
          <w:highlight w:val="none"/>
          <w:lang w:val="en-US" w:eastAsia="zh-CN"/>
        </w:rPr>
        <w:t xml:space="preserve">30</w:t>
      </w:r>
      <w:r>
        <w:rPr>
          <w:rFonts w:hint="eastAsia" w:ascii="宋体" w:hAnsi="宋体"/>
          <w:b/>
          <w:bCs/>
          <w:color w:val="auto"/>
          <w:sz w:val="24"/>
          <w:highlight w:val="none"/>
        </w:rPr>
        <w:t xml:space="preserve">分）：</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（1）</w:t>
      </w:r>
      <w:r>
        <w:rPr>
          <w:rFonts w:hint="eastAsia" w:ascii="宋体" w:hAnsi="宋体"/>
          <w:b/>
          <w:bCs/>
          <w:color w:val="auto"/>
          <w:sz w:val="24"/>
          <w:highlight w:val="none"/>
        </w:rPr>
        <w:t xml:space="preserve">项目人员配置情况（1</w:t>
      </w:r>
      <w:r>
        <w:rPr>
          <w:rFonts w:hint="eastAsia" w:ascii="宋体" w:hAnsi="宋体" w:eastAsia="宋体"/>
          <w:b/>
          <w:bCs/>
          <w:color w:val="auto"/>
          <w:sz w:val="24"/>
          <w:highlight w:val="none"/>
          <w:lang w:val="en-US" w:eastAsia="zh-CN"/>
        </w:rPr>
        <w:t xml:space="preserve">0</w:t>
      </w:r>
      <w:r>
        <w:rPr>
          <w:rFonts w:hint="eastAsia" w:ascii="宋体" w:hAnsi="宋体"/>
          <w:b/>
          <w:bCs/>
          <w:color w:val="auto"/>
          <w:sz w:val="24"/>
          <w:highlight w:val="none"/>
        </w:rPr>
        <w:t xml:space="preserve">分）：</w:t>
      </w:r>
      <w:r>
        <w:rPr>
          <w:rFonts w:hint="eastAsia" w:ascii="宋体" w:hAnsi="宋体"/>
          <w:bCs/>
          <w:color w:val="auto"/>
          <w:sz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p>
    <w:p>
      <w:pPr>
        <w:ind w:firstLine="480"/>
        <w:spacing w:line="360" w:lineRule="auto"/>
        <w:rPr>
          <w:rFonts w:hint="eastAsia" w:ascii="宋体" w:hAnsi="宋体"/>
          <w:color w:val="auto"/>
          <w:sz w:val="24"/>
          <w:highlight w:val="none"/>
        </w:rPr>
      </w:pPr>
      <w:r>
        <w:rPr>
          <w:rFonts w:hint="eastAsia" w:ascii="宋体" w:hAnsi="宋体" w:eastAsia="宋体" w:cs="宋体"/>
          <w:bCs/>
          <w:color w:val="auto"/>
          <w:sz w:val="24"/>
          <w:szCs w:val="20"/>
          <w:highlight w:val="none"/>
          <w:lang w:val="zh-CN"/>
        </w:rPr>
        <w:t xml:space="preserve">①</w:t>
      </w:r>
      <w:r>
        <w:rPr>
          <w:rFonts w:hint="eastAsia" w:ascii="宋体" w:hAnsi="宋体"/>
          <w:color w:val="auto"/>
          <w:sz w:val="24"/>
          <w:highlight w:val="none"/>
        </w:rPr>
        <w:t xml:space="preserve">项目经理（4分）：投标人拟派项目负责人（项目经理）须具备相关专业能力，该项目经理具有人力资源和社会保障部门或其他国家行政事业部门颁发的信息系统项目管理师证书、网络工程师证书、通信专业技术人员证书、IT服务项目经理证书，每有一个证书得1分，本项最高得4分。提供证明材料扫描上传至投标系统中并加盖公章，不提供或提供不符合要求均不得分。</w:t>
      </w:r>
      <w:r/>
    </w:p>
    <w:p>
      <w:pPr>
        <w:ind w:firstLine="480"/>
        <w:spacing w:line="360" w:lineRule="auto"/>
        <w:rPr>
          <w:rFonts w:hint="eastAsia" w:ascii="宋体" w:hAnsi="宋体"/>
          <w:color w:val="auto"/>
          <w:sz w:val="24"/>
          <w:highlight w:val="none"/>
        </w:rPr>
      </w:pPr>
      <w:r>
        <w:rPr>
          <w:rFonts w:hint="default" w:ascii="宋体" w:hAnsi="宋体"/>
          <w:color w:val="auto"/>
          <w:sz w:val="24"/>
          <w:highlight w:val="none"/>
          <w:lang w:val="en-US" w:eastAsia="zh-CN"/>
        </w:rPr>
        <w:t xml:space="preserve">②</w:t>
      </w:r>
      <w:r>
        <w:rPr>
          <w:rFonts w:hint="eastAsia" w:ascii="宋体" w:hAnsi="宋体"/>
          <w:color w:val="auto"/>
          <w:sz w:val="24"/>
          <w:highlight w:val="none"/>
        </w:rPr>
        <w:t xml:space="preserve">运维服务负责人（2分）：投标人为本项目配备运维服务负责人一名，该负责人具有人力资源和社会保障部门颁发的信息系统项目管理师证书得1分、系统集成项目管理工程师证书得1分，本项最高得2分。提供证明材料扫描上传至投标系统中并加盖公章，不提供或提供不符合要求均不得分。</w:t>
      </w:r>
      <w:r/>
    </w:p>
    <w:p>
      <w:pPr>
        <w:ind w:firstLine="480"/>
        <w:spacing w:line="360" w:lineRule="auto"/>
        <w:rPr>
          <w:rFonts w:ascii="宋体" w:hAnsi="宋体"/>
          <w:color w:val="auto"/>
          <w:sz w:val="24"/>
          <w:highlight w:val="none"/>
        </w:rPr>
      </w:pPr>
      <w:r>
        <w:rPr>
          <w:rFonts w:hint="default" w:ascii="宋体" w:hAnsi="宋体"/>
          <w:color w:val="auto"/>
          <w:sz w:val="24"/>
          <w:highlight w:val="none"/>
          <w:lang w:val="en-US" w:eastAsia="zh-CN"/>
        </w:rPr>
        <w:t xml:space="preserve">③</w:t>
      </w:r>
      <w:r>
        <w:rPr>
          <w:rFonts w:hint="eastAsia" w:ascii="宋体" w:hAnsi="宋体"/>
          <w:color w:val="auto"/>
          <w:sz w:val="24"/>
          <w:highlight w:val="none"/>
        </w:rPr>
        <w:t xml:space="preserve">项目组成员（4分）：投标人拟投入本项目组的人员应配置合理，其他成员（不含项目负责人和运维服务负责人）具有人力资源和社会保障部门或其他国家行政事业部门颁发的信息系统项目管理师证书、系统集成项目管理工程师证书、电子信息工程系列（专业）工程师证书、注册信息安全专业人员（CISP）证书，每有一个证书得1分，本项最高得4分，项目组成员（不含项目负责人和运维服务负责人）同一成员具有不同种类证书或不同成员具有同一种类证书，均不可累加得分。提供证明材料扫描上传至投标系统中并加盖公章，不提供或提供不符合要求均不得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投标人综合情况（6分）：</w:t>
      </w:r>
      <w:r/>
    </w:p>
    <w:p>
      <w:pPr>
        <w:ind w:firstLine="480"/>
        <w:spacing w:line="360" w:lineRule="auto"/>
        <w:rPr>
          <w:rFonts w:hint="eastAsia" w:ascii="宋体" w:hAnsi="宋体"/>
          <w:color w:val="auto"/>
          <w:sz w:val="24"/>
          <w:highlight w:val="none"/>
        </w:rPr>
      </w:pPr>
      <w:r>
        <w:rPr>
          <w:rFonts w:hint="eastAsia" w:ascii="宋体" w:hAnsi="宋体" w:eastAsia="宋体" w:cs="宋体"/>
          <w:bCs/>
          <w:color w:val="auto"/>
          <w:sz w:val="24"/>
          <w:szCs w:val="20"/>
          <w:highlight w:val="none"/>
          <w:lang w:val="zh-CN"/>
        </w:rPr>
        <w:t xml:space="preserve">①</w:t>
      </w:r>
      <w:r>
        <w:rPr>
          <w:rFonts w:hint="eastAsia" w:ascii="宋体" w:hAnsi="宋体"/>
          <w:color w:val="auto"/>
          <w:sz w:val="24"/>
          <w:highlight w:val="none"/>
        </w:rPr>
        <w:t xml:space="preserve">业绩（4分）：投标人自2023年1月1日以来（以合同签订日期为准）具有与本项目同类的业绩，每提供一份得2分，最高得4分。须提供相应有效合同扫描件扫描上传至投标系统中并加盖公章，不提供或提供不符合要求均不得分。</w:t>
      </w:r>
      <w:r/>
    </w:p>
    <w:p>
      <w:pPr>
        <w:ind w:firstLine="480"/>
        <w:spacing w:line="360" w:lineRule="auto"/>
        <w:rPr>
          <w:rFonts w:hint="eastAsia" w:ascii="宋体" w:hAnsi="宋体"/>
          <w:color w:val="auto"/>
          <w:sz w:val="24"/>
          <w:highlight w:val="none"/>
        </w:rPr>
      </w:pPr>
      <w:r>
        <w:rPr>
          <w:rFonts w:hint="default" w:ascii="宋体" w:hAnsi="宋体"/>
          <w:color w:val="auto"/>
          <w:sz w:val="24"/>
          <w:highlight w:val="none"/>
          <w:lang w:val="en-US" w:eastAsia="zh-CN"/>
        </w:rPr>
        <w:t xml:space="preserve">②</w:t>
      </w:r>
      <w:r>
        <w:rPr>
          <w:rFonts w:hint="eastAsia" w:ascii="宋体" w:hAnsi="宋体"/>
          <w:color w:val="auto"/>
          <w:sz w:val="24"/>
          <w:highlight w:val="none"/>
        </w:rPr>
        <w:t xml:space="preserve">体系认证（2分）：投标人具有有效期内的质量管理体系认证证书、信息安全管理体系认证证书、信息技术服务管理体系、隐私信息管理体系认证证书的，每有一项的得0.5分，最高得2分。投标文件中须提供相应证书扫描件和该证书在“国家市场监督管理总局-全国认证认可信息公共服务平台”网站查询到的有效认证截图扫描上传至投标系统中并加盖公章，不提供或提供不符合要求均不得分，否则不得分。</w:t>
      </w:r>
      <w:bookmarkStart w:id="150" w:name="OLE_LINK2"/>
      <w:r/>
      <w:bookmarkEnd w:id="150"/>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eastAsia="宋体"/>
          <w:b/>
          <w:bCs/>
          <w:color w:val="auto"/>
          <w:sz w:val="24"/>
          <w:highlight w:val="none"/>
          <w:lang w:val="en-US" w:eastAsia="zh-CN"/>
        </w:rPr>
        <w:t xml:space="preserve">3</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设备原厂技术保障能力（</w:t>
      </w:r>
      <w:r>
        <w:rPr>
          <w:rFonts w:hint="eastAsia" w:ascii="宋体" w:hAnsi="宋体" w:eastAsia="宋体"/>
          <w:b/>
          <w:bCs/>
          <w:color w:val="auto"/>
          <w:sz w:val="24"/>
          <w:highlight w:val="none"/>
          <w:lang w:val="en-US" w:eastAsia="zh-CN"/>
        </w:rPr>
        <w:t xml:space="preserve">6</w:t>
      </w:r>
      <w:r>
        <w:rPr>
          <w:rFonts w:hint="eastAsia" w:ascii="宋体" w:hAnsi="宋体"/>
          <w:b/>
          <w:bCs/>
          <w:color w:val="auto"/>
          <w:sz w:val="24"/>
          <w:highlight w:val="none"/>
        </w:rPr>
        <w:t xml:space="preserve">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投标人所投设备的质保和实施服务均能有原厂商工程师提供现场支持的，包括：交换机、手术行为管理设备（智能收/发衣机、智能更衣柜）、手术行为管理设备（智能收/发鞋机、智能更鞋柜）、智慧病房设备（医护主机、床头分机、门口分机、卫生间分机）、多参数生命体征采集设备、全自动台式血压计。以上内容每有一类的得1分，最高6分。投标文件中须提供设备原厂商针对本项目的售后服务承诺函扫描件并加盖公章，否则不得分。</w:t>
      </w:r>
      <w:r/>
    </w:p>
    <w:p>
      <w:pPr>
        <w:numPr>
          <w:ilvl w:val="4"/>
          <w:numId w:val="0"/>
        </w:numPr>
        <w:ind w:left="0" w:firstLine="482"/>
        <w:spacing w:line="360" w:lineRule="auto"/>
        <w:tabs>
          <w:tab w:val="left" w:pos="510"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eastAsia="宋体"/>
          <w:b/>
          <w:bCs/>
          <w:color w:val="auto"/>
          <w:sz w:val="24"/>
          <w:highlight w:val="none"/>
          <w:lang w:val="en-US" w:eastAsia="zh-CN"/>
        </w:rPr>
        <w:t xml:space="preserve">4</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技术响应（6分）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针对本项目核心产品，投标人所投产品具备原厂授权证明资料和相应产品的第三方检测报告扫描上传至投标系统中并加盖公章，不提供或提供不符合要求均不得分。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eastAsia="宋体" w:cs="宋体"/>
          <w:bCs/>
          <w:color w:val="auto"/>
          <w:sz w:val="24"/>
          <w:szCs w:val="20"/>
          <w:highlight w:val="none"/>
          <w:lang w:val="zh-CN"/>
        </w:rPr>
        <w:t xml:space="preserve">①</w:t>
      </w:r>
      <w:r>
        <w:rPr>
          <w:rFonts w:hint="eastAsia" w:ascii="宋体" w:hAnsi="宋体"/>
          <w:color w:val="auto"/>
          <w:sz w:val="24"/>
          <w:highlight w:val="none"/>
        </w:rPr>
        <w:t xml:space="preserve">智能发鞋机（3分）：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1）投标人所投产品具备加盖原厂公章的授权证明，得1分；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2）电气安全认证（1分）：产品满足国标（GB9706.1–2020医用电气设备第1部分：基本安全和基本性能的通用要求）医用电气设备通用要求，提供电气安全检测证书，提供由第三方检验检测机构出具的检验检测报告，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3）电磁兼容性认证（1分）：产品满足医用电气设备通用要求：（YY 9706.102–2021 医用电气设备第1-2部分：基本安全和基本性能的通用要求并列标准：电磁兼容要求和试验）医用电气设备通用要求，提供电磁兼容性检测证书，提供由第三方检验检测机构出具的检验检测报告，得1分。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default" w:ascii="宋体" w:hAnsi="宋体"/>
          <w:color w:val="auto"/>
          <w:sz w:val="24"/>
          <w:highlight w:val="none"/>
          <w:lang w:val="en-US" w:eastAsia="zh-CN"/>
        </w:rPr>
        <w:t xml:space="preserve">②</w:t>
      </w:r>
      <w:r>
        <w:rPr>
          <w:rFonts w:hint="eastAsia" w:ascii="宋体" w:hAnsi="宋体"/>
          <w:color w:val="auto"/>
          <w:sz w:val="24"/>
          <w:highlight w:val="none"/>
        </w:rPr>
        <w:t xml:space="preserve">智能发衣机（3分）：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1）投标人所投产品具备加盖原厂公章的授权证明，得1分；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2）电气安全认证（1分）：产品满足国标（GB 9706.1–2020 医用电气设备 第1部分：基本安全和基本性能的通用要求）医用电气设备通用要求，提供电气安全检测证书，提供由第三方检验检测机构</w:t>
      </w:r>
      <w:r>
        <w:rPr>
          <w:rFonts w:hint="eastAsia" w:ascii="宋体" w:hAnsi="宋体" w:eastAsia="宋体"/>
          <w:color w:val="auto"/>
          <w:sz w:val="24"/>
          <w:highlight w:val="none"/>
          <w:lang w:eastAsia="zh-CN"/>
        </w:rPr>
        <w:t xml:space="preserve">出具</w:t>
      </w:r>
      <w:r>
        <w:rPr>
          <w:rFonts w:hint="eastAsia" w:ascii="宋体" w:hAnsi="宋体"/>
          <w:color w:val="auto"/>
          <w:sz w:val="24"/>
          <w:highlight w:val="none"/>
        </w:rPr>
        <w:t xml:space="preserve">的检验检测报告，得1分；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）电磁兼容性认证（1分）：产品满足医用电气设备通用要求：（YY 9706.102–2021 医用电气设备 第1-2部分</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基本安全和基本性能的通用要求并列标准</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 电磁兼容要求和试验）医用电气设备通用要求，提供电磁兼容性检测证书，提供由第三方检验检测机构出具的检验检测报告，得1分。</w:t>
      </w:r>
      <w:r/>
    </w:p>
    <w:p>
      <w:pPr>
        <w:numPr>
          <w:ilvl w:val="4"/>
          <w:numId w:val="0"/>
        </w:numPr>
        <w:ind w:firstLine="240"/>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eastAsia="宋体"/>
          <w:b/>
          <w:bCs/>
          <w:color w:val="auto"/>
          <w:sz w:val="24"/>
          <w:highlight w:val="none"/>
          <w:lang w:val="en-US" w:eastAsia="zh-CN"/>
        </w:rPr>
        <w:t xml:space="preserve">5</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节能、环保产品（</w:t>
      </w:r>
      <w:r>
        <w:rPr>
          <w:rFonts w:hint="eastAsia" w:ascii="宋体" w:hAnsi="宋体" w:eastAsia="宋体"/>
          <w:b/>
          <w:bCs/>
          <w:color w:val="auto"/>
          <w:sz w:val="24"/>
          <w:highlight w:val="none"/>
          <w:lang w:val="en-US" w:eastAsia="zh-CN"/>
        </w:rPr>
        <w:t xml:space="preserve">2</w:t>
      </w:r>
      <w:r>
        <w:rPr>
          <w:rFonts w:hint="eastAsia" w:ascii="宋体" w:hAnsi="宋体"/>
          <w:b/>
          <w:bCs/>
          <w:color w:val="auto"/>
          <w:sz w:val="24"/>
          <w:highlight w:val="none"/>
        </w:rPr>
        <w:t xml:space="preserve">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依据财政部、发展改革委发布的《节能产品政府采购品目清单》和财政部、生态环境部发布的《环境标志产品政府采购品目清单》以及</w:t>
      </w:r>
      <w:r>
        <w:rPr>
          <w:rFonts w:ascii="宋体" w:hAnsi="宋体"/>
          <w:color w:val="auto"/>
          <w:sz w:val="24"/>
          <w:highlight w:val="none"/>
        </w:rPr>
        <w:t xml:space="preserve">《江苏省财政厅关于加强政府绿色采购有关事项的通知》（苏财购〔2023〕65号）</w:t>
      </w:r>
      <w:r>
        <w:rPr>
          <w:rFonts w:hint="eastAsia" w:ascii="宋体" w:hAnsi="宋体"/>
          <w:color w:val="auto"/>
          <w:sz w:val="24"/>
          <w:highlight w:val="none"/>
        </w:rPr>
        <w:t xml:space="preserve">，投标人能够提供所投产品为政府采购节能（政府强制采购节能产品除外）产品的得</w:t>
      </w:r>
      <w:r>
        <w:rPr>
          <w:rFonts w:hint="eastAsia" w:ascii="宋体" w:hAnsi="宋体" w:eastAsia="宋体"/>
          <w:color w:val="auto"/>
          <w:sz w:val="24"/>
          <w:highlight w:val="none"/>
          <w:lang w:val="en-US" w:eastAsia="zh-CN"/>
        </w:rPr>
        <w:t xml:space="preserve">0.5</w:t>
      </w:r>
      <w:r>
        <w:rPr>
          <w:rFonts w:hint="eastAsia" w:ascii="宋体" w:hAnsi="宋体"/>
          <w:color w:val="auto"/>
          <w:sz w:val="24"/>
          <w:highlight w:val="none"/>
        </w:rPr>
        <w:t xml:space="preserve">分、能够提供所投产品为环保产品的得</w:t>
      </w:r>
      <w:r>
        <w:rPr>
          <w:rFonts w:hint="eastAsia" w:ascii="宋体" w:hAnsi="宋体" w:eastAsia="宋体"/>
          <w:color w:val="auto"/>
          <w:sz w:val="24"/>
          <w:highlight w:val="none"/>
          <w:lang w:val="en-US" w:eastAsia="zh-CN"/>
        </w:rPr>
        <w:t xml:space="preserve">0.5</w:t>
      </w:r>
      <w:r>
        <w:rPr>
          <w:rFonts w:hint="eastAsia" w:ascii="宋体" w:hAnsi="宋体"/>
          <w:color w:val="auto"/>
          <w:sz w:val="24"/>
          <w:highlight w:val="none"/>
        </w:rPr>
        <w:t xml:space="preserve">分、能够提供所投产品符合国家和江苏省VOCs含量限制标准或推荐性标准产品证明的得1分（投标时须提供所投产品由国家确定的认证机构出具的、处于有效期之内的节能产品认证证书复印件、环境标志产品认证证书复印件、相应使用低VOCs 含量的有效证明材料，否则不得分）。</w:t>
      </w:r>
      <w:r/>
    </w:p>
    <w:p>
      <w:pPr>
        <w:numPr>
          <w:ilvl w:val="4"/>
          <w:numId w:val="0"/>
        </w:numPr>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rPr>
        <w:t xml:space="preserve">3、技术标部分（</w:t>
      </w:r>
      <w:r>
        <w:rPr>
          <w:rFonts w:hint="eastAsia" w:ascii="宋体" w:hAnsi="宋体" w:eastAsia="宋体"/>
          <w:b/>
          <w:bCs/>
          <w:color w:val="auto"/>
          <w:sz w:val="24"/>
          <w:highlight w:val="none"/>
          <w:lang w:val="en-US" w:eastAsia="zh-CN"/>
        </w:rPr>
        <w:t xml:space="preserve">40</w:t>
      </w:r>
      <w:r>
        <w:rPr>
          <w:rFonts w:hint="eastAsia" w:ascii="宋体" w:hAnsi="宋体"/>
          <w:b/>
          <w:bCs/>
          <w:color w:val="auto"/>
          <w:sz w:val="24"/>
          <w:highlight w:val="none"/>
        </w:rPr>
        <w:t xml:space="preserve">分）：无方案不得分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（1）</w:t>
      </w:r>
      <w:r>
        <w:rPr>
          <w:rFonts w:ascii="宋体" w:hAnsi="宋体" w:cs="宋体"/>
          <w:b w:val="0"/>
          <w:bCs w:val="0"/>
          <w:color w:val="auto"/>
          <w:sz w:val="24"/>
          <w:highlight w:val="none"/>
        </w:rPr>
        <w:t xml:space="preserve">总体</w:t>
      </w:r>
      <w:r>
        <w:rPr>
          <w:rFonts w:hint="eastAsia" w:ascii="宋体" w:hAnsi="宋体" w:cs="宋体"/>
          <w:color w:val="auto"/>
          <w:sz w:val="24"/>
          <w:highlight w:val="none"/>
        </w:rPr>
        <w:t xml:space="preserve">技术</w:t>
      </w:r>
      <w:r>
        <w:rPr>
          <w:rFonts w:ascii="宋体" w:hAnsi="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8</w:t>
      </w:r>
      <w:r>
        <w:rPr>
          <w:rFonts w:ascii="宋体" w:hAnsi="宋体" w:cs="宋体"/>
          <w:color w:val="auto"/>
          <w:sz w:val="24"/>
          <w:highlight w:val="none"/>
        </w:rPr>
        <w:t xml:space="preserve">分）：投标人需提供</w:t>
      </w:r>
      <w:r>
        <w:rPr>
          <w:rFonts w:ascii="宋体" w:hAnsi="宋体"/>
          <w:color w:val="auto"/>
          <w:sz w:val="24"/>
          <w:highlight w:val="none"/>
        </w:rPr>
        <w:t xml:space="preserve">总体方案，包括规划依据、需求分析、</w:t>
      </w:r>
      <w:r>
        <w:rPr>
          <w:rFonts w:hint="eastAsia" w:ascii="宋体" w:hAnsi="宋体"/>
          <w:color w:val="auto"/>
          <w:sz w:val="24"/>
          <w:highlight w:val="none"/>
        </w:rPr>
        <w:t xml:space="preserve">一体化</w:t>
      </w:r>
      <w:r>
        <w:rPr>
          <w:rFonts w:ascii="宋体" w:hAnsi="宋体"/>
          <w:color w:val="auto"/>
          <w:sz w:val="24"/>
          <w:highlight w:val="none"/>
        </w:rPr>
        <w:t xml:space="preserve">设计原则</w:t>
      </w:r>
      <w:r>
        <w:rPr>
          <w:rFonts w:hint="eastAsia" w:ascii="宋体" w:hAnsi="宋体"/>
          <w:color w:val="auto"/>
          <w:sz w:val="24"/>
          <w:highlight w:val="none"/>
        </w:rPr>
        <w:t xml:space="preserve">、安全设计</w:t>
      </w:r>
      <w:r>
        <w:rPr>
          <w:rFonts w:ascii="宋体" w:hAnsi="宋体"/>
          <w:color w:val="auto"/>
          <w:sz w:val="24"/>
          <w:highlight w:val="none"/>
        </w:rPr>
        <w:t xml:space="preserve">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4</w:t>
      </w:r>
      <w:r>
        <w:rPr>
          <w:rFonts w:ascii="宋体" w:hAnsi="宋体"/>
          <w:color w:val="auto"/>
          <w:sz w:val="24"/>
          <w:highlight w:val="none"/>
        </w:rPr>
        <w:t xml:space="preserve">项全部方案的，得</w:t>
      </w:r>
      <w:r>
        <w:rPr>
          <w:rFonts w:hint="eastAsia" w:ascii="宋体" w:hAnsi="宋体" w:eastAsia="宋体"/>
          <w:color w:val="auto"/>
          <w:sz w:val="24"/>
          <w:highlight w:val="none"/>
          <w:lang w:val="en-US" w:eastAsia="zh-CN"/>
        </w:rPr>
        <w:t xml:space="preserve">8</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w:t>
      </w:r>
      <w:r>
        <w:rPr>
          <w:rFonts w:ascii="宋体" w:hAnsi="宋体"/>
          <w:color w:val="auto"/>
          <w:sz w:val="24"/>
          <w:highlight w:val="none"/>
        </w:rPr>
        <w:t xml:space="preserve">项方案的，得</w:t>
      </w:r>
      <w:r>
        <w:rPr>
          <w:rFonts w:hint="eastAsia" w:ascii="宋体" w:hAnsi="宋体"/>
          <w:color w:val="auto"/>
          <w:sz w:val="24"/>
          <w:highlight w:val="none"/>
        </w:rPr>
        <w:t xml:space="preserve">5</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2</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分；提供方案不足2项或无方案的，不得分。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2</w:t>
      </w:r>
      <w:r>
        <w:rPr>
          <w:rFonts w:hint="eastAsia" w:ascii="宋体" w:hAnsi="宋体"/>
          <w:b w:val="0"/>
          <w:bCs w:val="0"/>
          <w:color w:val="auto"/>
          <w:sz w:val="24"/>
          <w:highlight w:val="none"/>
          <w:lang w:val="zh-CN"/>
        </w:rPr>
        <w:t xml:space="preserve">）</w:t>
      </w:r>
      <w:r>
        <w:rPr>
          <w:rFonts w:ascii="宋体" w:hAnsi="宋体"/>
          <w:color w:val="auto"/>
          <w:sz w:val="24"/>
          <w:highlight w:val="none"/>
        </w:rPr>
        <w:t xml:space="preserve">项目实施方案（</w:t>
      </w:r>
      <w:r>
        <w:rPr>
          <w:rFonts w:hint="eastAsia" w:ascii="宋体" w:hAnsi="宋体"/>
          <w:color w:val="auto"/>
          <w:sz w:val="24"/>
          <w:highlight w:val="none"/>
        </w:rPr>
        <w:t xml:space="preserve">9</w:t>
      </w:r>
      <w:r>
        <w:rPr>
          <w:rFonts w:ascii="宋体" w:hAnsi="宋体"/>
          <w:color w:val="auto"/>
          <w:sz w:val="24"/>
          <w:highlight w:val="none"/>
        </w:rPr>
        <w:t xml:space="preserve">分）：投标人需提供项目实施方案，包括实施组织、进度计划、质量管理、风险管理、</w:t>
      </w:r>
      <w:r>
        <w:rPr>
          <w:rFonts w:hint="eastAsia" w:ascii="宋体" w:hAnsi="宋体"/>
          <w:color w:val="auto"/>
          <w:sz w:val="24"/>
          <w:highlight w:val="none"/>
        </w:rPr>
        <w:t xml:space="preserve">设备</w:t>
      </w:r>
      <w:r>
        <w:rPr>
          <w:rFonts w:ascii="宋体" w:hAnsi="宋体"/>
          <w:color w:val="auto"/>
          <w:sz w:val="24"/>
          <w:highlight w:val="none"/>
        </w:rPr>
        <w:t xml:space="preserve">测试与试运行等内容。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6</w:t>
      </w:r>
      <w:r>
        <w:rPr>
          <w:rFonts w:ascii="宋体" w:hAnsi="宋体"/>
          <w:color w:val="auto"/>
          <w:sz w:val="24"/>
          <w:highlight w:val="none"/>
        </w:rPr>
        <w:t xml:space="preserve">项全部方案的，得</w:t>
      </w:r>
      <w:r>
        <w:rPr>
          <w:rFonts w:hint="eastAsia" w:ascii="宋体" w:hAnsi="宋体"/>
          <w:color w:val="auto"/>
          <w:sz w:val="24"/>
          <w:highlight w:val="none"/>
        </w:rPr>
        <w:t xml:space="preserve">9</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7</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3-4</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分；提供方案不足2项或无方案的，不得分。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3</w:t>
      </w:r>
      <w:r>
        <w:rPr>
          <w:rFonts w:hint="eastAsia" w:ascii="宋体" w:hAnsi="宋体"/>
          <w:b w:val="0"/>
          <w:bCs w:val="0"/>
          <w:color w:val="auto"/>
          <w:sz w:val="24"/>
          <w:highlight w:val="none"/>
          <w:lang w:val="zh-CN"/>
        </w:rPr>
        <w:t xml:space="preserve">）</w:t>
      </w:r>
      <w:r>
        <w:rPr>
          <w:rFonts w:hint="eastAsia" w:ascii="宋体" w:hAnsi="宋体"/>
          <w:color w:val="auto"/>
          <w:sz w:val="24"/>
          <w:highlight w:val="none"/>
        </w:rPr>
        <w:t xml:space="preserve">培训</w:t>
      </w:r>
      <w:r>
        <w:rPr>
          <w:rFonts w:ascii="宋体" w:hAnsi="宋体"/>
          <w:color w:val="auto"/>
          <w:sz w:val="24"/>
          <w:highlight w:val="none"/>
        </w:rPr>
        <w:t xml:space="preserve">服务方案（</w:t>
      </w:r>
      <w:r>
        <w:rPr>
          <w:rFonts w:hint="eastAsia" w:ascii="宋体" w:hAnsi="宋体"/>
          <w:color w:val="auto"/>
          <w:sz w:val="24"/>
          <w:highlight w:val="none"/>
        </w:rPr>
        <w:t xml:space="preserve">7</w:t>
      </w:r>
      <w:r>
        <w:rPr>
          <w:rFonts w:ascii="宋体" w:hAnsi="宋体"/>
          <w:color w:val="auto"/>
          <w:sz w:val="24"/>
          <w:highlight w:val="none"/>
        </w:rPr>
        <w:t xml:space="preserve">分）：投标人需提供售后服务方案，包括培训目标、培训对象、培训方式、培训</w:t>
      </w:r>
      <w:r>
        <w:rPr>
          <w:rFonts w:hint="eastAsia" w:ascii="宋体" w:hAnsi="宋体"/>
          <w:color w:val="auto"/>
          <w:sz w:val="24"/>
          <w:highlight w:val="none"/>
        </w:rPr>
        <w:t xml:space="preserve">计划与培训内容</w:t>
      </w:r>
      <w:r>
        <w:rPr>
          <w:rFonts w:ascii="宋体" w:hAnsi="宋体"/>
          <w:color w:val="auto"/>
          <w:sz w:val="24"/>
          <w:highlight w:val="none"/>
        </w:rPr>
        <w:t xml:space="preserve">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5</w:t>
      </w:r>
      <w:r>
        <w:rPr>
          <w:rFonts w:ascii="宋体" w:hAnsi="宋体"/>
          <w:color w:val="auto"/>
          <w:sz w:val="24"/>
          <w:highlight w:val="none"/>
        </w:rPr>
        <w:t xml:space="preserve">项全部方案的，得</w:t>
      </w:r>
      <w:r>
        <w:rPr>
          <w:rFonts w:hint="eastAsia" w:ascii="宋体" w:hAnsi="宋体"/>
          <w:color w:val="auto"/>
          <w:sz w:val="24"/>
          <w:highlight w:val="none"/>
        </w:rPr>
        <w:t xml:space="preserve">7</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5</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3-4</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分；提供方案不足</w:t>
      </w:r>
      <w:r>
        <w:rPr>
          <w:rFonts w:hint="eastAsia" w:ascii="宋体" w:hAnsi="宋体"/>
          <w:color w:val="auto"/>
          <w:sz w:val="24"/>
          <w:highlight w:val="none"/>
        </w:rPr>
        <w:t xml:space="preserve">2</w:t>
      </w:r>
      <w:r>
        <w:rPr>
          <w:rFonts w:ascii="宋体" w:hAnsi="宋体"/>
          <w:color w:val="auto"/>
          <w:sz w:val="24"/>
          <w:highlight w:val="none"/>
        </w:rPr>
        <w:t xml:space="preserve">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4</w:t>
      </w:r>
      <w:r>
        <w:rPr>
          <w:rFonts w:hint="eastAsia" w:ascii="宋体" w:hAnsi="宋体"/>
          <w:b w:val="0"/>
          <w:bCs w:val="0"/>
          <w:color w:val="auto"/>
          <w:sz w:val="24"/>
          <w:highlight w:val="none"/>
          <w:lang w:val="zh-CN"/>
        </w:rPr>
        <w:t xml:space="preserve">）</w:t>
      </w:r>
      <w:r>
        <w:rPr>
          <w:rFonts w:hint="eastAsia" w:ascii="宋体" w:hAnsi="宋体"/>
          <w:color w:val="auto"/>
          <w:sz w:val="24"/>
          <w:highlight w:val="none"/>
        </w:rPr>
        <w:t xml:space="preserve">售后及运维</w:t>
      </w:r>
      <w:r>
        <w:rPr>
          <w:rFonts w:ascii="宋体" w:hAnsi="宋体"/>
          <w:color w:val="auto"/>
          <w:sz w:val="24"/>
          <w:highlight w:val="none"/>
        </w:rPr>
        <w:t xml:space="preserve">服务方案（</w:t>
      </w:r>
      <w:r>
        <w:rPr>
          <w:rFonts w:hint="eastAsia" w:ascii="宋体" w:hAnsi="宋体"/>
          <w:color w:val="auto"/>
          <w:sz w:val="24"/>
          <w:highlight w:val="none"/>
        </w:rPr>
        <w:t xml:space="preserve">9</w:t>
      </w:r>
      <w:r>
        <w:rPr>
          <w:rFonts w:ascii="宋体" w:hAnsi="宋体"/>
          <w:color w:val="auto"/>
          <w:sz w:val="24"/>
          <w:highlight w:val="none"/>
        </w:rPr>
        <w:t xml:space="preserve">分）：投标人需提供</w:t>
      </w:r>
      <w:r>
        <w:rPr>
          <w:rFonts w:hint="eastAsia" w:ascii="宋体" w:hAnsi="宋体"/>
          <w:color w:val="auto"/>
          <w:sz w:val="24"/>
          <w:highlight w:val="none"/>
        </w:rPr>
        <w:t xml:space="preserve">售后及运维</w:t>
      </w:r>
      <w:r>
        <w:rPr>
          <w:rFonts w:ascii="宋体" w:hAnsi="宋体"/>
          <w:color w:val="auto"/>
          <w:sz w:val="24"/>
          <w:highlight w:val="none"/>
        </w:rPr>
        <w:t xml:space="preserve">服务方案，包括售后服务承诺、</w:t>
      </w:r>
      <w:r>
        <w:rPr>
          <w:rFonts w:hint="eastAsia" w:ascii="宋体" w:hAnsi="宋体"/>
          <w:color w:val="auto"/>
          <w:sz w:val="24"/>
          <w:highlight w:val="none"/>
        </w:rPr>
        <w:t xml:space="preserve">售后服务体系、</w:t>
      </w:r>
      <w:r>
        <w:rPr>
          <w:rFonts w:ascii="宋体" w:hAnsi="宋体"/>
          <w:color w:val="auto"/>
          <w:sz w:val="24"/>
          <w:highlight w:val="none"/>
        </w:rPr>
        <w:t xml:space="preserve">售后</w:t>
      </w:r>
      <w:r>
        <w:rPr>
          <w:rFonts w:hint="eastAsia" w:ascii="宋体" w:hAnsi="宋体"/>
          <w:color w:val="auto"/>
          <w:sz w:val="24"/>
          <w:highlight w:val="none"/>
        </w:rPr>
        <w:t xml:space="preserve">服务</w:t>
      </w:r>
      <w:r>
        <w:rPr>
          <w:rFonts w:ascii="宋体" w:hAnsi="宋体"/>
          <w:color w:val="auto"/>
          <w:sz w:val="24"/>
          <w:highlight w:val="none"/>
        </w:rPr>
        <w:t xml:space="preserve">响应、</w:t>
      </w:r>
      <w:r>
        <w:rPr>
          <w:rFonts w:hint="eastAsia" w:ascii="宋体" w:hAnsi="宋体"/>
          <w:color w:val="auto"/>
          <w:sz w:val="24"/>
          <w:highlight w:val="none"/>
        </w:rPr>
        <w:t xml:space="preserve">运维服务思路、运维响应时间、运维服务评价、技术支持及服务方式、设备</w:t>
      </w:r>
      <w:r>
        <w:rPr>
          <w:rFonts w:ascii="宋体" w:hAnsi="宋体"/>
          <w:color w:val="auto"/>
          <w:sz w:val="24"/>
          <w:highlight w:val="none"/>
        </w:rPr>
        <w:t xml:space="preserve">软件升级服务承诺等内容。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8</w:t>
      </w:r>
      <w:r>
        <w:rPr>
          <w:rFonts w:ascii="宋体" w:hAnsi="宋体"/>
          <w:color w:val="auto"/>
          <w:sz w:val="24"/>
          <w:highlight w:val="none"/>
        </w:rPr>
        <w:t xml:space="preserve">项全部方案的，得</w:t>
      </w:r>
      <w:r>
        <w:rPr>
          <w:rFonts w:hint="eastAsia" w:ascii="宋体" w:hAnsi="宋体"/>
          <w:color w:val="auto"/>
          <w:sz w:val="24"/>
          <w:highlight w:val="none"/>
        </w:rPr>
        <w:t xml:space="preserve">9</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7</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3-5</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分；提供方案不足</w:t>
      </w:r>
      <w:r>
        <w:rPr>
          <w:rFonts w:hint="eastAsia" w:ascii="宋体" w:hAnsi="宋体"/>
          <w:color w:val="auto"/>
          <w:sz w:val="24"/>
          <w:highlight w:val="none"/>
        </w:rPr>
        <w:t xml:space="preserve">3</w:t>
      </w:r>
      <w:r>
        <w:rPr>
          <w:rFonts w:ascii="宋体" w:hAnsi="宋体"/>
          <w:color w:val="auto"/>
          <w:sz w:val="24"/>
          <w:highlight w:val="none"/>
        </w:rPr>
        <w:t xml:space="preserve">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lang w:val="zh-CN"/>
        </w:rPr>
        <w:t xml:space="preserve">）</w:t>
      </w:r>
      <w:r>
        <w:rPr>
          <w:rFonts w:hint="eastAsia" w:ascii="宋体" w:hAnsi="宋体"/>
          <w:color w:val="auto"/>
          <w:sz w:val="24"/>
          <w:highlight w:val="none"/>
        </w:rPr>
        <w:t xml:space="preserve">应急保障</w:t>
      </w:r>
      <w:r>
        <w:rPr>
          <w:rFonts w:ascii="宋体" w:hAnsi="宋体"/>
          <w:color w:val="auto"/>
          <w:sz w:val="24"/>
          <w:highlight w:val="none"/>
        </w:rPr>
        <w:t xml:space="preserve">方案（</w:t>
      </w:r>
      <w:r>
        <w:rPr>
          <w:rFonts w:hint="eastAsia" w:ascii="宋体" w:hAnsi="宋体"/>
          <w:color w:val="auto"/>
          <w:sz w:val="24"/>
          <w:highlight w:val="none"/>
        </w:rPr>
        <w:t xml:space="preserve">7</w:t>
      </w:r>
      <w:r>
        <w:rPr>
          <w:rFonts w:ascii="宋体" w:hAnsi="宋体"/>
          <w:color w:val="auto"/>
          <w:sz w:val="24"/>
          <w:highlight w:val="none"/>
        </w:rPr>
        <w:t xml:space="preserve">分）：投标人需提供</w:t>
      </w:r>
      <w:r>
        <w:rPr>
          <w:rFonts w:hint="eastAsia" w:ascii="宋体" w:hAnsi="宋体"/>
          <w:color w:val="auto"/>
          <w:sz w:val="24"/>
          <w:highlight w:val="none"/>
        </w:rPr>
        <w:t xml:space="preserve">应急保障</w:t>
      </w:r>
      <w:r>
        <w:rPr>
          <w:rFonts w:ascii="宋体" w:hAnsi="宋体"/>
          <w:color w:val="auto"/>
          <w:sz w:val="24"/>
          <w:highlight w:val="none"/>
        </w:rPr>
        <w:t xml:space="preserve">方案，包括</w:t>
      </w:r>
      <w:r>
        <w:rPr>
          <w:rFonts w:hint="eastAsia" w:ascii="宋体" w:hAnsi="宋体"/>
          <w:color w:val="auto"/>
          <w:sz w:val="24"/>
          <w:highlight w:val="none"/>
        </w:rPr>
        <w:t xml:space="preserve">突发事件预案、应急组织体系、应急响应与处置、预防预警信息报告、应急预案、后期处置</w:t>
      </w:r>
      <w:r>
        <w:rPr>
          <w:rFonts w:ascii="宋体" w:hAnsi="宋体"/>
          <w:color w:val="auto"/>
          <w:sz w:val="24"/>
          <w:highlight w:val="none"/>
        </w:rPr>
        <w:t xml:space="preserve">等内容。</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6</w:t>
      </w:r>
      <w:r>
        <w:rPr>
          <w:rFonts w:ascii="宋体" w:hAnsi="宋体"/>
          <w:color w:val="auto"/>
          <w:sz w:val="24"/>
          <w:highlight w:val="none"/>
        </w:rPr>
        <w:t xml:space="preserve">项全部方案的，得</w:t>
      </w:r>
      <w:r>
        <w:rPr>
          <w:rFonts w:hint="eastAsia" w:ascii="宋体" w:hAnsi="宋体"/>
          <w:color w:val="auto"/>
          <w:sz w:val="24"/>
          <w:highlight w:val="none"/>
        </w:rPr>
        <w:t xml:space="preserve">7</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5</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3-4</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分；提供方案不足</w:t>
      </w:r>
      <w:r>
        <w:rPr>
          <w:rFonts w:hint="eastAsia" w:ascii="宋体" w:hAnsi="宋体"/>
          <w:color w:val="auto"/>
          <w:sz w:val="24"/>
          <w:highlight w:val="none"/>
        </w:rPr>
        <w:t xml:space="preserve">2</w:t>
      </w:r>
      <w:r>
        <w:rPr>
          <w:rFonts w:ascii="宋体" w:hAnsi="宋体"/>
          <w:color w:val="auto"/>
          <w:sz w:val="24"/>
          <w:highlight w:val="none"/>
        </w:rPr>
        <w:t xml:space="preserve">项或无方案的，不得分。</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pStyle w:val="823"/>
        <w:rPr>
          <w:rFonts w:hint="eastAsia"/>
        </w:rPr>
      </w:pPr>
      <w:r>
        <w:rPr>
          <w:rFonts w:hint="eastAsia"/>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br w:type="page" w:clear="all"/>
      </w: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211"/>
        <w:ind w:firstLine="602"/>
        <w:spacing w:before="0" w:after="0"/>
        <w:rPr>
          <w:rFonts w:cs="Arial"/>
          <w:b/>
          <w:color w:val="auto"/>
          <w:sz w:val="30"/>
          <w:szCs w:val="30"/>
          <w:highlight w:val="none"/>
        </w:rPr>
      </w:pPr>
      <w:r/>
      <w:bookmarkStart w:id="151" w:name="_Hlt26671244"/>
      <w:r/>
      <w:bookmarkEnd w:id="151"/>
      <w:r/>
      <w:bookmarkStart w:id="152" w:name="_Hlt26955039"/>
      <w:r/>
      <w:bookmarkEnd w:id="152"/>
      <w:r>
        <w:rPr>
          <w:rFonts w:hint="eastAsia" w:cs="Arial"/>
          <w:b/>
          <w:color w:val="auto"/>
          <w:sz w:val="30"/>
          <w:szCs w:val="30"/>
          <w:highlight w:val="none"/>
        </w:rPr>
        <w:t xml:space="preserve">第一部分投标文件内容</w:t>
      </w:r>
      <w:r/>
    </w:p>
    <w:p>
      <w:pPr>
        <w:pStyle w:val="1211"/>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2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1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11"/>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1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11"/>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个月中任意一个月份（不含投标当月）</w:t>
            </w:r>
            <w:r>
              <w:rPr>
                <w:rFonts w:hint="eastAsia" w:ascii="宋体" w:hAnsi="宋体" w:eastAsia="宋体" w:cs="宋体"/>
                <w:bCs/>
                <w:color w:val="auto"/>
                <w:sz w:val="24"/>
                <w:highlight w:val="none"/>
              </w:rPr>
              <w:t xml:space="preserve">的</w:t>
            </w:r>
            <w:r>
              <w:rPr>
                <w:rFonts w:hint="eastAsia" w:ascii="宋体" w:hAnsi="宋体" w:cs="宋体"/>
                <w:bCs/>
                <w:color w:val="auto"/>
                <w:sz w:val="24"/>
                <w:highlight w:val="none"/>
              </w:rPr>
              <w:t xml:space="preserve">社保缴费证明（新成立的企业若不满足</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905"/>
                <w:rFonts w:hint="eastAsia" w:ascii="宋体" w:hAnsi="宋体" w:cs="宋体"/>
                <w:color w:val="auto"/>
                <w:highlight w:val="none"/>
              </w:rPr>
              <w:t xml:space="preserve">。</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11"/>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11"/>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11"/>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11"/>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211"/>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11"/>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11"/>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5"/>
        </w:numPr>
        <w:ind w:firstLine="480"/>
        <w:spacing w:line="360" w:lineRule="auto"/>
        <w:rPr>
          <w:rFonts w:ascii="宋体" w:hAnsi="宋体"/>
          <w:sz w:val="24"/>
          <w:szCs w:val="24"/>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sz w:val="24"/>
          <w:szCs w:val="24"/>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lang w:val="en-US" w:eastAsia="zh-CN" w:bidi="ar-SA"/>
        </w:rPr>
        <w:t xml:space="preserve">（2）</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lang w:val="en-US" w:eastAsia="zh-CN" w:bidi="ar-SA"/>
        </w:rPr>
        <w:t xml:space="preserve">（3）</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lang w:val="en-US" w:eastAsia="zh-CN" w:bidi="ar-SA"/>
        </w:rPr>
        <w:t xml:space="preserve">（4）</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w:t>
      </w:r>
      <w:r>
        <w:rPr>
          <w:rFonts w:hint="eastAsia" w:ascii="宋体" w:hAnsi="宋体" w:eastAsia="宋体"/>
          <w:color w:val="auto"/>
          <w:sz w:val="24"/>
          <w:szCs w:val="24"/>
          <w:highlight w:val="none"/>
        </w:rPr>
        <w:t xml:space="preserve">请书</w:t>
      </w:r>
      <w:r>
        <w:rPr>
          <w:rFonts w:hint="eastAsia" w:ascii="宋体" w:hAnsi="宋体"/>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11"/>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11"/>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11"/>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11"/>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11"/>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11"/>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211"/>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11"/>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1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11"/>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6"/>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spacing w:line="360" w:lineRule="auto"/>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br w:type="page" w:clear="all"/>
      </w:r>
      <w:r/>
    </w:p>
    <w:p>
      <w:pPr>
        <w:ind w:firstLine="480"/>
        <w:spacing w:line="360" w:lineRule="auto"/>
        <w:rPr>
          <w:rFonts w:cs="Arial"/>
          <w:b/>
          <w:color w:val="auto"/>
          <w:sz w:val="30"/>
          <w:szCs w:val="30"/>
          <w:highlight w:val="none"/>
        </w:rPr>
      </w:pPr>
      <w:r>
        <w:rPr>
          <w:rFonts w:hint="eastAsia" w:cs="Arial"/>
          <w:b/>
          <w:color w:val="auto"/>
          <w:sz w:val="30"/>
          <w:szCs w:val="30"/>
          <w:highlight w:val="none"/>
        </w:rPr>
        <w:t xml:space="preserve">第二部分投标文件格式</w:t>
      </w:r>
      <w:r/>
    </w:p>
    <w:p>
      <w:pPr>
        <w:pStyle w:val="121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3"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hint="eastAsia" w:ascii="Arial" w:hAnsi="Arial"/>
          <w:bCs/>
          <w:color w:val="auto"/>
          <w:sz w:val="28"/>
          <w:szCs w:val="28"/>
          <w:highlight w:val="none"/>
        </w:rPr>
      </w:pPr>
      <w:r>
        <w:rPr>
          <w:rFonts w:hint="eastAsia" w:ascii="Arial" w:hAnsi="Arial"/>
          <w:bCs/>
          <w:color w:val="auto"/>
          <w:sz w:val="28"/>
          <w:szCs w:val="28"/>
          <w:highlight w:val="none"/>
        </w:rPr>
        <w:t xml:space="preserve">投标人： </w:t>
      </w:r>
      <w:r/>
    </w:p>
    <w:p>
      <w:pPr>
        <w:ind w:firstLine="2703"/>
        <w:spacing w:line="360" w:lineRule="auto"/>
        <w:rPr>
          <w:rFonts w:hint="eastAsia" w:ascii="Arial" w:hAnsi="Arial"/>
          <w:bCs/>
          <w:color w:val="auto"/>
          <w:sz w:val="28"/>
          <w:szCs w:val="28"/>
          <w:highlight w:val="none"/>
        </w:rPr>
      </w:pPr>
      <w:r>
        <w:rPr>
          <w:rFonts w:hint="eastAsia" w:ascii="Arial" w:hAnsi="Arial"/>
          <w:bCs/>
          <w:color w:val="auto"/>
          <w:sz w:val="28"/>
          <w:szCs w:val="28"/>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3"/>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10"/>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10"/>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1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10"/>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1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10"/>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4" w:name="报价方关于资格的声明函（格式）"/>
      <w:r/>
      <w:bookmarkEnd w:id="15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jc w:val="center"/>
        <w:spacing w:line="360" w:lineRule="auto"/>
        <w:rPr>
          <w:rFonts w:ascii="宋体" w:hAnsi="宋体" w:cs="宋体"/>
          <w:color w:val="auto"/>
          <w:sz w:val="30"/>
          <w:szCs w:val="30"/>
          <w:highlight w:val="none"/>
        </w:rPr>
      </w:pPr>
      <w:r>
        <w:rPr>
          <w:rFonts w:hint="eastAsia" w:ascii="宋体" w:hAnsi="宋体" w:cs="宋体"/>
          <w:b/>
          <w:bCs/>
          <w:color w:val="auto"/>
          <w:sz w:val="30"/>
          <w:szCs w:val="30"/>
          <w:highlight w:val="none"/>
        </w:rPr>
        <w:t xml:space="preserve">中小企业声明函（货物</w:t>
      </w:r>
      <w:r>
        <w:rPr>
          <w:rFonts w:hint="eastAsia" w:ascii="宋体" w:hAnsi="宋体" w:cs="宋体"/>
          <w:color w:val="auto"/>
          <w:sz w:val="30"/>
          <w:szCs w:val="30"/>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 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 </w:t>
      </w:r>
      <w:r/>
    </w:p>
    <w:p>
      <w:pPr>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交换机 </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18"/>
        </w:numPr>
        <w:ind w:firstLine="480"/>
        <w:spacing w:line="360" w:lineRule="auto"/>
        <w:rPr>
          <w:rFonts w:ascii="宋体" w:hAnsi="宋体" w:cs="宋体"/>
          <w:bCs/>
          <w:color w:val="auto"/>
          <w:sz w:val="24"/>
          <w:highlight w:val="none"/>
        </w:rPr>
      </w:pPr>
      <w:r>
        <w:rPr>
          <w:rFonts w:hint="eastAsia" w:ascii="宋体" w:hAnsi="宋体" w:cs="宋体"/>
          <w:color w:val="auto"/>
          <w:sz w:val="24"/>
          <w:szCs w:val="24"/>
          <w:highlight w:val="none"/>
          <w:u w:val="single"/>
        </w:rPr>
        <w:t xml:space="preserve">智慧病房交互大屏</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p>
    <w:p>
      <w:pPr>
        <w:numPr>
          <w:ilvl w:val="0"/>
          <w:numId w:val="18"/>
        </w:numPr>
        <w:ind w:firstLine="480"/>
        <w:spacing w:line="360" w:lineRule="auto"/>
        <w:rPr>
          <w:rFonts w:ascii="宋体" w:hAnsi="宋体" w:cs="宋体"/>
          <w:color w:val="auto"/>
          <w:sz w:val="24"/>
          <w:szCs w:val="24"/>
          <w:highlight w:val="none"/>
        </w:rPr>
      </w:pPr>
      <w:r>
        <w:rPr>
          <w:rFonts w:ascii="宋体" w:hAnsi="宋体"/>
          <w:b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18"/>
        </w:numPr>
        <w:ind w:firstLine="480"/>
        <w:spacing w:line="360" w:lineRule="auto"/>
        <w:rPr>
          <w:rFonts w:ascii="宋体" w:hAnsi="宋体" w:cs="宋体"/>
          <w:bCs/>
          <w:color w:val="auto"/>
          <w:sz w:val="24"/>
          <w:highlight w:val="none"/>
        </w:rPr>
      </w:pPr>
      <w:r>
        <w:rPr>
          <w:rFonts w:ascii="宋体" w:hAnsi="宋体"/>
          <w:b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上述内容填写按照第四章 采购需求里采购清单中的各项名称与规格进行一一填写</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 </w:t>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p>
    <w:p>
      <w:pPr>
        <w:ind w:firstLine="480"/>
        <w:jc w:val="right"/>
        <w:spacing w:line="360" w:lineRule="auto"/>
        <w:rPr>
          <w:rFonts w:ascii="宋体" w:hAnsi="宋体" w:cs="宋体"/>
          <w:bCs/>
          <w:color w:val="auto"/>
          <w:sz w:val="24"/>
          <w:highlight w:val="none"/>
        </w:rPr>
      </w:pPr>
      <w:r>
        <w:rPr>
          <w:rFonts w:hint="eastAsia" w:ascii="宋体" w:hAnsi="宋体" w:cs="宋体"/>
          <w:color w:val="auto"/>
          <w:sz w:val="24"/>
          <w:szCs w:val="24"/>
          <w:highlight w:val="none"/>
        </w:rPr>
        <w:t xml:space="preserve">日 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numPr>
          <w:ilvl w:val="0"/>
          <w:numId w:val="1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numPr>
          <w:ilvl w:val="0"/>
          <w:numId w:val="19"/>
        </w:numPr>
        <w:spacing w:line="360" w:lineRule="auto"/>
        <w:rPr>
          <w:rFonts w:ascii="宋体" w:hAnsi="宋体" w:cs="宋体"/>
          <w:bCs/>
          <w:color w:val="auto"/>
          <w:sz w:val="24"/>
          <w:szCs w:val="24"/>
          <w:highlight w:val="none"/>
        </w:rPr>
      </w:pPr>
      <w:r>
        <w:rPr>
          <w:rFonts w:hint="eastAsia" w:ascii="宋体" w:hAnsi="宋体" w:cs="宋体"/>
          <w:color w:val="auto"/>
          <w:spacing w:val="8"/>
          <w:sz w:val="24"/>
          <w:szCs w:val="24"/>
          <w:highlight w:val="none"/>
          <w:shd w:val="clear" w:color="auto" w:fill="ffffff"/>
        </w:rPr>
        <w:t xml:space="preserve">在</w:t>
      </w:r>
      <w:r>
        <w:rPr>
          <w:rFonts w:hint="eastAsia" w:ascii="宋体" w:hAnsi="宋体" w:eastAsia="宋体" w:cs="宋体"/>
          <w:color w:val="auto"/>
          <w:sz w:val="24"/>
          <w:szCs w:val="24"/>
          <w:highlight w:val="none"/>
        </w:rPr>
        <w:t xml:space="preserve">货物采购项目中，在货物采购项目中，供应商提供的货物既有中小企业制造货物，也有大型企业制造货物的，不享受《政府采购促进中小企业发展管理办法》（财库〔2020〕46号）规定的小微企业扶持政策。</w:t>
      </w:r>
      <w:r/>
    </w:p>
    <w:p>
      <w:pPr>
        <w:numPr>
          <w:ilvl w:val="0"/>
          <w:numId w:val="19"/>
        </w:numPr>
        <w:spacing w:line="360" w:lineRule="auto"/>
        <w:rPr>
          <w:rFonts w:hint="eastAsia" w:ascii="宋体" w:hAnsi="宋体" w:cs="宋体"/>
          <w:color w:val="auto"/>
          <w:spacing w:val="8"/>
          <w:sz w:val="24"/>
          <w:szCs w:val="24"/>
          <w:highlight w:val="none"/>
          <w:shd w:val="clear" w:color="auto" w:fill="ffffff"/>
        </w:rPr>
      </w:pPr>
      <w:r>
        <w:rPr>
          <w:rFonts w:hint="eastAsia" w:ascii="宋体" w:hAnsi="宋体" w:cs="宋体"/>
          <w:color w:val="auto"/>
          <w:spacing w:val="8"/>
          <w:sz w:val="24"/>
          <w:szCs w:val="24"/>
          <w:highlight w:val="none"/>
          <w:shd w:val="clear" w:color="auto" w:fill="ffffff"/>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r>
      <w:r>
        <w:rPr>
          <w:rFonts w:hint="eastAsia" w:ascii="宋体" w:hAnsi="宋体" w:cs="宋体"/>
          <w:b/>
          <w:color w:val="auto"/>
          <w:sz w:val="28"/>
          <w:szCs w:val="28"/>
          <w:highlight w:val="none"/>
        </w:rPr>
      </w:r>
    </w:p>
    <w:p>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r>
      <w:r>
        <w:rPr>
          <w:rFonts w:hint="eastAsia" w:ascii="宋体" w:hAnsi="宋体" w:cs="宋体"/>
          <w:b/>
          <w:color w:val="auto"/>
          <w:sz w:val="28"/>
          <w:szCs w:val="28"/>
          <w:highlight w:val="none"/>
        </w:rP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b/>
          <w:bCs/>
          <w:color w:val="auto"/>
          <w:sz w:val="28"/>
          <w:szCs w:val="28"/>
          <w:highlight w:val="none"/>
        </w:rPr>
      </w:pPr>
      <w:r>
        <w:rPr>
          <w:rFonts w:hint="eastAsia"/>
          <w:b/>
          <w:color w:val="auto"/>
          <w:sz w:val="28"/>
          <w:szCs w:val="28"/>
          <w:highlight w:val="none"/>
        </w:rPr>
      </w:r>
      <w:r>
        <w:rPr>
          <w:rFonts w:hint="eastAsia"/>
          <w:b/>
          <w:color w:val="auto"/>
          <w:sz w:val="28"/>
          <w:szCs w:val="28"/>
          <w:highlight w:val="none"/>
        </w:rPr>
      </w:r>
    </w:p>
    <w:p>
      <w:pPr>
        <w:spacing w:line="360" w:lineRule="auto"/>
        <w:rPr>
          <w:rFonts w:hint="eastAsia"/>
          <w:b/>
          <w:bCs/>
          <w:color w:val="auto"/>
          <w:sz w:val="28"/>
          <w:szCs w:val="28"/>
          <w:highlight w:val="none"/>
        </w:rPr>
      </w:pPr>
      <w:r>
        <w:rPr>
          <w:rFonts w:hint="eastAsia" w:eastAsia="宋体"/>
          <w:b/>
          <w:color w:val="auto"/>
          <w:sz w:val="28"/>
          <w:szCs w:val="28"/>
          <w:highlight w:val="none"/>
          <w:lang w:val="en-US" w:eastAsia="zh-CN"/>
        </w:rPr>
        <w:t xml:space="preserve">七、</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05"/>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eastAsia="zh-CN"/>
        </w:rPr>
        <w:t xml:space="preserve">我方知情并同意执行</w:t>
      </w:r>
      <w:r>
        <w:rPr>
          <w:rFonts w:hint="eastAsia" w:ascii="宋体" w:hAnsi="宋体" w:eastAsia="宋体" w:cs="Times New Roman"/>
          <w:bCs/>
          <w:color w:val="auto"/>
          <w:sz w:val="24"/>
          <w:szCs w:val="24"/>
          <w:highlight w:val="none"/>
        </w:rPr>
        <w:t xml:space="preserve">《无锡市人民医院供应商管理办法》</w:t>
      </w:r>
      <w:r>
        <w:rPr>
          <w:rFonts w:hint="eastAsia" w:ascii="宋体" w:hAnsi="宋体" w:eastAsia="宋体" w:cs="Times New Roman"/>
          <w:bCs/>
          <w:color w:val="auto"/>
          <w:sz w:val="24"/>
          <w:szCs w:val="24"/>
          <w:highlight w:val="none"/>
          <w:lang w:eastAsia="zh-CN"/>
        </w:rPr>
        <w:t xml:space="preserve">（文件附后）</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left="0" w:firstLine="420"/>
        <w:jc w:val="center"/>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lang w:val="en-US" w:eastAsia="zh-CN"/>
        </w:rPr>
        <w:t xml:space="preserve">附件：</w:t>
      </w:r>
      <w:r>
        <w:rPr>
          <w:rFonts w:hint="eastAsia" w:ascii="宋体" w:hAnsi="宋体" w:cs="宋体"/>
          <w:b w:val="0"/>
          <w:bCs/>
          <w:color w:val="auto"/>
          <w:sz w:val="24"/>
          <w:highlight w:val="none"/>
        </w:rPr>
        <w:t xml:space="preserve">无锡市人民医院供应商管理办法</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第二条 本办法适用于参与医院各类采购及在一定时期内持续提供药品、耗材、设备、试剂、信息产品以及办公用品、后勤物资等商品、服务的供应商。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第四条 供应商要严格遵守国家《药品管理法》、《医疗器械监督管理条例》等国家相关法律法规开展经营活动，按照《药品经营许可证</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医疗器械经营许可证》等相关证照核准的经营范围、经营方式开展业务往来，绝不经营假冒伪劣产品。</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第六条 遵守“两指”制度，供应商必须在指定时间、指定地点开展活动。</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第七条 供应商划入黑名单的依据和标准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（一）涉及一切商业贿赂行为，包含有明确司法判决书、行政处罚决定书、行风办查实的、审计发现的问题以及</w:t>
      </w:r>
      <w:r>
        <w:rPr>
          <w:rFonts w:hint="eastAsia" w:ascii="宋体" w:hAnsi="宋体" w:eastAsia="宋体" w:cs="宋体"/>
          <w:b w:val="0"/>
          <w:bCs/>
          <w:color w:val="auto"/>
          <w:sz w:val="24"/>
          <w:highlight w:val="none"/>
          <w:lang w:eastAsia="zh-CN"/>
        </w:rPr>
        <w:t xml:space="preserve">其他商业</w:t>
      </w:r>
      <w:r>
        <w:rPr>
          <w:rFonts w:hint="eastAsia" w:ascii="宋体" w:hAnsi="宋体" w:cs="宋体"/>
          <w:b w:val="0"/>
          <w:bCs/>
          <w:color w:val="auto"/>
          <w:sz w:val="24"/>
          <w:highlight w:val="none"/>
        </w:rPr>
        <w:t xml:space="preserve">贿赂行为。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（二）在招投标过程中或物资采购过程中相互串通投标、非法以他人名义投标和以其他方式弄虚作假骗取中标的行为。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（三）严重违反投标承诺、中标后不按</w:t>
      </w:r>
      <w:r>
        <w:rPr>
          <w:rFonts w:hint="eastAsia" w:ascii="宋体" w:hAnsi="宋体" w:cs="宋体"/>
          <w:b w:val="0"/>
          <w:bCs/>
          <w:color w:val="auto"/>
          <w:sz w:val="24"/>
          <w:highlight w:val="none"/>
          <w:lang w:eastAsia="zh-CN"/>
        </w:rPr>
        <w:t xml:space="preserve">响应文件</w:t>
      </w:r>
      <w:r>
        <w:rPr>
          <w:rFonts w:hint="eastAsia" w:ascii="宋体" w:hAnsi="宋体" w:cs="宋体"/>
          <w:b w:val="0"/>
          <w:bCs/>
          <w:color w:val="auto"/>
          <w:sz w:val="24"/>
          <w:highlight w:val="none"/>
        </w:rPr>
        <w:t xml:space="preserve">签订合同或不按合同约定，有提高价格、降低质量、拖延工期或供货时间的不诚信行为。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（四）在履行投标承诺或合同过程中，出现严重的质量问题或给本单位造成重大经济损失、安全事故以及不良社会影响的。</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（五）不遵守招投标法律法规，在招标采购过程中有恶意诽谤、诬告或陷害其他竞争对手的不良行为。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（六）有其他违反国家法律法规及招投标管理相关规定的。</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第八条 供应商黑名单的建立</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（一）采购中心与纪委监察办负责供应商黑名单的建立。</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（二）采购中心负责供应商的日常管理，建立供应商考核权重表，定期召集各相关职能部门和使用部门对供应商进行考核。</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（三）供应商考核结果分优秀（90分以上）、良好（75</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89分）合格（60</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75分）和不合格</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60分以下</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第九条 供应商黑名单的处理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对于列入黑名单的供应商，医院有权采取以下部分或全部处理措施：</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（一）约谈、告诫。</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（二）对于只有唯一授权的产品，通过实施二轮谈价的方式，来挤压隐性利润、强化成本把控。</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（三）对于开放的、通用的产品，相关职能部门提供遴选规则及参数需求，采购中心用公开遴选的方式引入充分竞争，打破固定合作壁垒，引入更具性价比的供应商。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（四）根据法律规定或合同约定要求供应商承担违约责任。</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（五）解除合同。</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（六）禁止后续三年内参加本办法所涉及的采购项目。</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第十条 本办法将作为院内采购投标文件或长期供货协议的附件，要求供应商明确“知情并执行”并遵守该管理办法。</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第十一条 本办法自发布之日起施行，由采购中心负责解释。</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sectPr>
          <w:footerReference w:type="default" r:id="rId15"/>
          <w:footnotePr/>
          <w:endnotePr/>
          <w:type w:val="nextPage"/>
          <w:pgSz w:w="11906" w:h="16838" w:orient="portrait"/>
          <w:pgMar w:top="1440" w:right="1286" w:bottom="1440" w:left="1020" w:header="851" w:footer="567" w:gutter="0"/>
          <w:cols w:num="1" w:sep="0" w:space="720" w:equalWidth="1"/>
          <w:docGrid w:linePitch="360"/>
        </w:sectPr>
        <w:outlineLvl w:val="0"/>
      </w:pPr>
      <w:r>
        <w:rPr>
          <w:rFonts w:hint="eastAsia" w:ascii="宋体" w:hAnsi="宋体" w:cs="宋体"/>
          <w:b w:val="0"/>
          <w:bCs/>
          <w:color w:val="auto"/>
          <w:sz w:val="24"/>
          <w:highlight w:val="none"/>
        </w:rPr>
        <w:t xml:space="preserve">                                 2026年1月4日印</w:t>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九</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货币单位：人民币元</w:t>
      </w:r>
      <w:r/>
    </w:p>
    <w:tbl>
      <w:tblPr>
        <w:tblStyle w:val="822"/>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总价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2929" w:type="dxa"/>
            <w:vAlign w:val="center"/>
            <w:textDirection w:val="lrTb"/>
            <w:noWrap w:val="false"/>
          </w:tcPr>
          <w:p>
            <w:pPr>
              <w:pStyle w:val="959"/>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十</w:t>
      </w:r>
      <w:r>
        <w:rPr>
          <w:rFonts w:hint="eastAsia"/>
          <w:b/>
          <w:color w:val="auto"/>
          <w:sz w:val="28"/>
          <w:szCs w:val="28"/>
          <w:highlight w:val="none"/>
        </w:rPr>
        <w:t xml:space="preserve">、</w:t>
      </w:r>
      <w:r>
        <w:rPr>
          <w:rFonts w:hint="eastAsia" w:eastAsia="宋体"/>
          <w:b/>
          <w:color w:val="auto"/>
          <w:sz w:val="28"/>
          <w:szCs w:val="28"/>
          <w:highlight w:val="none"/>
          <w:lang w:val="en-US" w:eastAsia="zh-CN"/>
        </w:rPr>
        <w:t xml:space="preserve">细目报价表</w:t>
      </w:r>
      <w:r>
        <w:rPr>
          <w:rFonts w:hint="eastAsia"/>
          <w:b/>
          <w:color w:val="auto"/>
          <w:sz w:val="28"/>
          <w:szCs w:val="28"/>
          <w:highlight w:val="none"/>
        </w:rPr>
        <w:t xml:space="preserve">（给定格式）：</w:t>
      </w:r>
      <w:bookmarkStart w:id="155"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lang w:val="en-US" w:eastAsia="zh-CN"/>
        </w:rPr>
        <w:t xml:space="preserve">细目</w:t>
      </w:r>
      <w:r>
        <w:rPr>
          <w:rFonts w:hint="eastAsia" w:ascii="黑体" w:eastAsia="黑体"/>
          <w:bCs/>
          <w:color w:val="auto"/>
          <w:sz w:val="28"/>
          <w:szCs w:val="28"/>
          <w:highlight w:val="none"/>
        </w:rPr>
        <w:t xml:space="preserve">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22"/>
        <w:tblW w:w="101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270"/>
        <w:gridCol w:w="1508"/>
        <w:gridCol w:w="885"/>
        <w:gridCol w:w="901"/>
        <w:gridCol w:w="1817"/>
        <w:gridCol w:w="1817"/>
      </w:tblGrid>
      <w:tr>
        <w:trPr>
          <w:jc w:val="center"/>
          <w:trHeight w:val="615"/>
        </w:trPr>
        <w:tc>
          <w:tcPr>
            <w:tcBorders>
              <w:top w:val="single" w:color="auto" w:sz="4" w:space="0"/>
              <w:left w:val="single" w:color="auto" w:sz="4" w:space="0"/>
              <w:bottom w:val="single" w:color="auto" w:sz="4" w:space="0"/>
              <w:right w:val="single" w:color="auto" w:sz="4" w:space="0"/>
            </w:tcBorders>
            <w:tcW w:w="9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分项名称</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性能指标</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小计（元）</w:t>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智慧病房交互大屏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急诊质控大屏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信息显示屏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医护主机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床头分机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门口分机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卫生间分机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走廊显示屏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多参数生命体征采集设备</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串口数据采集器</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全自动台式血压计</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5GPDA</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桌面式指纹人脸一体机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准入控制套件</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桌面式读写器</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RFID标签</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智能发鞋机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智能收鞋机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智能发衣机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智能收衣机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智能更鞋柜控制主柜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智能更衣柜控制主柜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系统集成</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gridSpan w:val="6"/>
            <w:tcBorders>
              <w:top w:val="single" w:color="auto" w:sz="4" w:space="0"/>
              <w:left w:val="single" w:color="auto" w:sz="4" w:space="0"/>
              <w:bottom w:val="single" w:color="auto" w:sz="4" w:space="0"/>
              <w:right w:val="single" w:color="auto" w:sz="4" w:space="0"/>
            </w:tcBorders>
            <w:tcW w:w="83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总价（元）</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gridSpan w:val="7"/>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投标人承诺：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本采购项目或采购包中提供的符合本国产品标准的产品成本之和占提供的全部产品成本之和的比例：</w:t>
            </w:r>
            <w:r>
              <w:rPr>
                <w:rFonts w:hint="eastAsia" w:ascii="宋体" w:hAnsi="宋体" w:eastAsia="宋体" w:cs="宋体"/>
                <w:i w:val="0"/>
                <w:iCs w:val="0"/>
                <w:color w:val="auto"/>
                <w:sz w:val="24"/>
                <w:szCs w:val="24"/>
                <w:highlight w:val="none"/>
                <w:u w:val="singl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w:t>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400" w:lineRule="exact"/>
        <w:rPr>
          <w:rFonts w:hint="eastAsia" w:ascii="宋体" w:hAnsi="宋体" w:eastAsia="宋体" w:cs="宋体"/>
          <w:b/>
          <w:color w:val="auto"/>
          <w:highlight w:val="none"/>
        </w:rPr>
        <w:outlineLvl w:val="0"/>
      </w:pPr>
      <w:r>
        <w:rPr>
          <w:rFonts w:hint="eastAsia" w:ascii="宋体" w:hAnsi="宋体" w:eastAsia="宋体" w:cs="宋体"/>
          <w:b/>
          <w:color w:val="auto"/>
          <w:highlight w:val="none"/>
        </w:rPr>
        <w:t xml:space="preserve">注：</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1）投标人本项目提供的服务全部由符合政策要求的中小企业承接的，须提供按格式填写的《中小企业声明函》；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普信国际工程咨询有限公司有权将相关内容进行公示；</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（2）投标人应当根据“采购需求”的内容在上表中详细填写；</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（3）表格不够可自行延长。</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400" w:lineRule="exact"/>
        <w:rPr>
          <w:rFonts w:ascii="宋体" w:hAnsi="宋体" w:cs="宋体"/>
          <w:b/>
          <w:bCs/>
          <w:color w:val="auto"/>
          <w:sz w:val="22"/>
          <w:highlight w:val="none"/>
        </w:rPr>
        <w:outlineLvl w:val="0"/>
      </w:pPr>
      <w:r>
        <w:rPr>
          <w:rFonts w:ascii="宋体" w:hAnsi="宋体" w:cs="宋体"/>
          <w:b/>
          <w:bCs/>
          <w:color w:val="auto"/>
          <w:sz w:val="22"/>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十一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偏离项，请于本表中列明偏离内容，如需要可自行延长，其余无偏离内容不须赘述。</w:t>
      </w:r>
      <w:bookmarkEnd w:id="155"/>
      <w:r/>
      <w:bookmarkStart w:id="156" w:name="_格式2__法定代表人授权书"/>
      <w:r/>
      <w:bookmarkEnd w:id="156"/>
      <w:r/>
      <w:bookmarkStart w:id="157" w:name="_Hlt26955066"/>
      <w:r/>
      <w:bookmarkEnd w:id="157"/>
      <w:r/>
      <w:bookmarkStart w:id="158" w:name="_Hlt26671374"/>
      <w:r/>
      <w:bookmarkEnd w:id="158"/>
      <w:r/>
      <w:bookmarkStart w:id="159" w:name="_Hlt26609389"/>
      <w:r/>
      <w:bookmarkEnd w:id="159"/>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lang w:val="en-US" w:eastAsia="zh-CN"/>
        </w:rPr>
        <w:t xml:space="preserve">十三、</w:t>
      </w:r>
      <w:r>
        <w:rPr>
          <w:rFonts w:hint="eastAsia" w:ascii="宋体" w:hAnsi="宋体" w:eastAsia="宋体" w:cs="宋体"/>
          <w:b/>
          <w:color w:val="auto"/>
          <w:sz w:val="28"/>
          <w:szCs w:val="28"/>
          <w:highlight w:val="none"/>
        </w:rPr>
        <w:t xml:space="preserve">《能确保设备正常使用的，随机所需配备耗材清单》（格式可自拟）</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400" w:lineRule="exact"/>
        <w:rPr>
          <w:rFonts w:hint="eastAsia" w:ascii="宋体" w:hAnsi="宋体" w:eastAsia="宋体" w:cs="宋体"/>
          <w:b/>
          <w:color w:val="auto"/>
          <w:sz w:val="28"/>
          <w:szCs w:val="28"/>
          <w:highlight w:val="none"/>
          <w:lang w:val="en-US" w:eastAsia="zh-CN"/>
        </w:rPr>
        <w:outlineLvl w:val="0"/>
      </w:pPr>
      <w:r>
        <w:rPr>
          <w:rFonts w:hint="eastAsia" w:ascii="宋体" w:hAnsi="宋体" w:eastAsia="宋体" w:cs="宋体"/>
          <w:b/>
          <w:color w:val="auto"/>
          <w:sz w:val="28"/>
          <w:szCs w:val="28"/>
          <w:highlight w:val="none"/>
          <w:lang w:val="en-US" w:eastAsia="zh-CN"/>
        </w:rPr>
        <w:br w:type="page" w:clear="all"/>
      </w:r>
      <w:r>
        <w:rPr>
          <w:rFonts w:hint="eastAsia" w:ascii="宋体" w:hAnsi="宋体" w:eastAsia="宋体" w:cs="宋体"/>
          <w:b/>
          <w:color w:val="auto"/>
          <w:sz w:val="28"/>
          <w:szCs w:val="28"/>
          <w:highlight w:val="none"/>
          <w:lang w:val="en-US" w:eastAsia="zh-CN"/>
        </w:rPr>
        <w:t xml:space="preserve">十四</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val="en-US" w:eastAsia="zh-CN"/>
        </w:rPr>
        <w:t xml:space="preserve">产品售后服务方案及保障体系 </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val="en-US" w:eastAsia="zh-CN"/>
        </w:rPr>
        <w:t xml:space="preserve">格式</w:t>
      </w:r>
      <w:r>
        <w:rPr>
          <w:rFonts w:hint="eastAsia" w:ascii="宋体" w:hAnsi="宋体" w:cs="宋体"/>
          <w:b/>
          <w:color w:val="auto"/>
          <w:sz w:val="28"/>
          <w:szCs w:val="28"/>
          <w:highlight w:val="none"/>
          <w:lang w:val="en-US" w:eastAsia="zh-CN"/>
        </w:rPr>
        <w:t xml:space="preserve">）</w:t>
      </w:r>
      <w:r/>
    </w:p>
    <w:p>
      <w:pPr>
        <w:spacing w:line="480" w:lineRule="auto"/>
        <w:rPr>
          <w:rFonts w:ascii="黑体" w:hAnsi="黑体" w:eastAsia="黑体"/>
          <w:color w:val="auto"/>
          <w:sz w:val="28"/>
          <w:szCs w:val="28"/>
          <w:highlight w:val="none"/>
          <w:u w:val="single"/>
        </w:rPr>
      </w:pPr>
      <w:r>
        <w:rPr>
          <w:rFonts w:ascii="黑体" w:hAnsi="黑体" w:eastAsia="黑体"/>
          <w:color w:val="auto"/>
          <w:sz w:val="28"/>
          <w:szCs w:val="28"/>
          <w:highlight w:val="none"/>
          <w:u w:val="single"/>
        </w:rPr>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产品售后服务方案及保障体系</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（一）基本承诺</w:t>
      </w:r>
      <w:r/>
    </w:p>
    <w:p>
      <w:pPr>
        <w:ind w:firstLine="480"/>
        <w:spacing w:line="360" w:lineRule="auto"/>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．本公司（单位）对本项目（</w:t>
      </w:r>
      <w:r>
        <w:rPr>
          <w:rFonts w:hint="eastAsia" w:ascii="宋体" w:hAnsi="宋体" w:cs="宋体"/>
          <w:color w:val="auto"/>
          <w:sz w:val="24"/>
          <w:szCs w:val="24"/>
          <w:highlight w:val="none"/>
          <w:lang w:val="en-US" w:eastAsia="zh-CN"/>
        </w:rPr>
        <w:t xml:space="preserve">项目编号：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）所提供的货物均为原厂全新合格品。</w:t>
      </w:r>
      <w:r/>
    </w:p>
    <w:p>
      <w:pPr>
        <w:ind w:firstLine="480"/>
        <w:spacing w:line="360" w:lineRule="auto"/>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．本公司（单位）具备履行合同所必需的设备和专业技术能力；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3.（制造厂商）保证（投标供应商）在本项目所投的涉及本公司的产品质量，并提供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年原厂商上门免费保修。</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 </w:t>
      </w:r>
      <w:r>
        <w:rPr>
          <w:rFonts w:hint="eastAsia" w:ascii="宋体" w:hAnsi="宋体" w:cs="宋体"/>
          <w:color w:val="auto"/>
          <w:sz w:val="24"/>
          <w:szCs w:val="24"/>
          <w:highlight w:val="none"/>
        </w:rPr>
        <w:t xml:space="preserve">本公司（单位）</w:t>
      </w:r>
      <w:r>
        <w:rPr>
          <w:rFonts w:hint="eastAsia" w:ascii="宋体" w:hAnsi="宋体" w:cs="宋体"/>
          <w:color w:val="auto"/>
          <w:sz w:val="24"/>
          <w:szCs w:val="24"/>
          <w:highlight w:val="none"/>
        </w:rPr>
        <w:t xml:space="preserve">确保所提供的设备在设备使用年限（</w:t>
      </w:r>
      <w:r>
        <w:rPr>
          <w:rFonts w:ascii="宋体" w:hAnsi="宋体" w:cs="宋体"/>
          <w:color w:val="auto"/>
          <w:sz w:val="24"/>
          <w:szCs w:val="24"/>
          <w:highlight w:val="none"/>
        </w:rPr>
        <w:t xml:space="preserve">自</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）内的配件、耗材的正常供应；如因设备升级等原因而导致配件、耗材价格提高，且采购人无法接受时；或已无法正常供应配件、耗材时，</w:t>
      </w:r>
      <w:r>
        <w:rPr>
          <w:rFonts w:hint="eastAsia" w:ascii="宋体" w:hAnsi="宋体" w:cs="宋体"/>
          <w:color w:val="auto"/>
          <w:sz w:val="24"/>
          <w:szCs w:val="24"/>
          <w:highlight w:val="none"/>
        </w:rPr>
        <w:t xml:space="preserve">本公司（单位）</w:t>
      </w:r>
      <w:r>
        <w:rPr>
          <w:rFonts w:hint="eastAsia" w:ascii="宋体" w:hAnsi="宋体" w:cs="宋体"/>
          <w:color w:val="auto"/>
          <w:sz w:val="24"/>
          <w:szCs w:val="24"/>
          <w:highlight w:val="none"/>
        </w:rPr>
        <w:t xml:space="preserve">同意按折旧后的价格将设备回购（折旧方法：直线折旧法）。</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（二）其他承诺</w:t>
      </w:r>
      <w:r/>
    </w:p>
    <w:p>
      <w:pPr>
        <w:ind w:firstLine="480"/>
        <w:spacing w:line="360" w:lineRule="auto"/>
        <w:tabs>
          <w:tab w:val="left" w:pos="0" w:leader="none"/>
        </w:tabs>
        <w:rPr>
          <w:rFonts w:ascii="宋体" w:cs="宋体"/>
          <w:color w:val="auto"/>
          <w:sz w:val="24"/>
          <w:szCs w:val="24"/>
          <w:highlight w:val="none"/>
        </w:rPr>
      </w:pPr>
      <w:r>
        <w:rPr>
          <w:rFonts w:hint="eastAsia" w:ascii="宋体" w:hAnsi="宋体" w:cs="宋体"/>
          <w:color w:val="auto"/>
          <w:sz w:val="24"/>
          <w:szCs w:val="24"/>
          <w:highlight w:val="none"/>
        </w:rPr>
        <w:t xml:space="preserve">1.针对本项目的售后服务方案（指保障采购项目能够达到招标文件设定的使用和运行状态而提供的配送、安装、调试、培训、响应时间、技术支持、维修以及应急保障措施</w:t>
      </w:r>
      <w:r>
        <w:rPr>
          <w:rFonts w:hint="eastAsia" w:ascii="宋体" w:cs="宋体"/>
          <w:color w:val="auto"/>
          <w:sz w:val="24"/>
          <w:szCs w:val="24"/>
          <w:highlight w:val="none"/>
        </w:rPr>
        <w:t xml:space="preserve">等一系列服务方案）。本公司承诺：</w:t>
      </w:r>
      <w:r/>
    </w:p>
    <w:p>
      <w:pPr>
        <w:ind w:firstLine="480"/>
        <w:spacing w:line="360" w:lineRule="auto"/>
        <w:tabs>
          <w:tab w:val="left" w:pos="0" w:leader="none"/>
        </w:tabs>
        <w:rPr>
          <w:rFonts w:ascii="宋体"/>
          <w:color w:val="auto"/>
          <w:sz w:val="24"/>
          <w:szCs w:val="24"/>
          <w:highlight w:val="none"/>
        </w:rPr>
      </w:pPr>
      <w:r>
        <w:rPr>
          <w:rFonts w:hint="eastAsia" w:ascii="宋体" w:cs="宋体"/>
          <w:color w:val="auto"/>
          <w:sz w:val="24"/>
          <w:szCs w:val="24"/>
          <w:highlight w:val="none"/>
        </w:rPr>
        <w:t xml:space="preserve">2. 针对本项目的服务保障体系（指保障服务方案的实施而设立的服务机构、配备的相应服务人员、设施装备，以及相应的服务细则和规范的管理制度，保证服务质量的措施）。本公司承诺：</w:t>
      </w:r>
      <w:r/>
    </w:p>
    <w:p>
      <w:pPr>
        <w:spacing w:line="360" w:lineRule="auto"/>
        <w:rPr>
          <w:rFonts w:ascii="宋体"/>
          <w:color w:val="auto"/>
          <w:sz w:val="24"/>
          <w:szCs w:val="24"/>
          <w:highlight w:val="none"/>
        </w:rPr>
      </w:pPr>
      <w:r>
        <w:rPr>
          <w:rFonts w:ascii="宋体"/>
          <w:color w:val="auto"/>
          <w:sz w:val="24"/>
          <w:szCs w:val="24"/>
          <w:highlight w:val="none"/>
        </w:rPr>
      </w:r>
      <w:r/>
    </w:p>
    <w:p>
      <w:pPr>
        <w:spacing w:line="360" w:lineRule="auto"/>
        <w:rPr>
          <w:rFonts w:ascii="宋体"/>
          <w:color w:val="auto"/>
          <w:sz w:val="24"/>
          <w:szCs w:val="24"/>
          <w:highlight w:val="none"/>
        </w:rPr>
      </w:pPr>
      <w:r>
        <w:rPr>
          <w:rFonts w:ascii="宋体"/>
          <w:color w:val="auto"/>
          <w:sz w:val="24"/>
          <w:szCs w:val="24"/>
          <w:highlight w:val="none"/>
        </w:rPr>
      </w:r>
      <w:r/>
    </w:p>
    <w:p>
      <w:pPr>
        <w:ind w:firstLine="5400"/>
        <w:spacing w:line="360" w:lineRule="auto"/>
        <w:rPr>
          <w:rFonts w:ascii="宋体"/>
          <w:color w:val="auto"/>
          <w:sz w:val="24"/>
          <w:szCs w:val="24"/>
          <w:highlight w:val="none"/>
        </w:rPr>
      </w:pPr>
      <w:r>
        <w:rPr>
          <w:rFonts w:hint="eastAsia" w:ascii="宋体" w:cs="宋体"/>
          <w:color w:val="auto"/>
          <w:sz w:val="24"/>
          <w:szCs w:val="24"/>
          <w:highlight w:val="none"/>
        </w:rPr>
        <w:t xml:space="preserve">制造厂商（盖章）：</w:t>
      </w:r>
      <w:r/>
    </w:p>
    <w:p>
      <w:pPr>
        <w:ind w:firstLine="540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投标供应商（盖章）：</w:t>
      </w:r>
      <w:r/>
    </w:p>
    <w:p>
      <w:pPr>
        <w:ind w:firstLine="6720"/>
        <w:spacing w:line="360" w:lineRule="auto"/>
        <w:rPr>
          <w:rFonts w:ascii="宋体"/>
          <w:color w:val="auto"/>
          <w:sz w:val="24"/>
          <w:szCs w:val="24"/>
          <w:highlight w:val="none"/>
        </w:rPr>
      </w:pPr>
      <w:r>
        <w:rPr>
          <w:rFonts w:hint="eastAsia" w:ascii="宋体" w:cs="宋体"/>
          <w:color w:val="auto"/>
          <w:sz w:val="24"/>
          <w:szCs w:val="24"/>
          <w:highlight w:val="none"/>
        </w:rPr>
        <w:t xml:space="preserve">日期：</w:t>
      </w:r>
      <w:r/>
    </w:p>
    <w:p>
      <w:pPr>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p>
      <w:pPr>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br w:type="page" w:clear="all"/>
      </w:r>
      <w:r/>
    </w:p>
    <w:p>
      <w:pPr>
        <w:spacing w:line="400" w:lineRule="exact"/>
        <w:rPr>
          <w:rFonts w:hint="eastAsia" w:ascii="宋体" w:hAnsi="宋体" w:eastAsia="宋体" w:cs="宋体"/>
          <w:b/>
          <w:color w:val="auto"/>
          <w:sz w:val="28"/>
          <w:szCs w:val="28"/>
          <w:highlight w:val="none"/>
          <w:lang w:val="en-US" w:eastAsia="zh-CN"/>
        </w:rPr>
        <w:outlineLvl w:val="0"/>
      </w:pPr>
      <w:r>
        <w:rPr>
          <w:rFonts w:hint="eastAsia" w:ascii="宋体" w:hAnsi="宋体" w:eastAsia="宋体" w:cs="宋体"/>
          <w:b/>
          <w:color w:val="auto"/>
          <w:sz w:val="28"/>
          <w:szCs w:val="28"/>
          <w:highlight w:val="none"/>
          <w:lang w:val="en-US" w:eastAsia="zh-CN"/>
        </w:rPr>
        <w:t xml:space="preserve">十五</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val="en-US" w:eastAsia="zh-CN"/>
        </w:rPr>
        <w:t xml:space="preserve">制造商出具的授权函（格式）</w:t>
      </w:r>
      <w:r/>
    </w:p>
    <w:p>
      <w:pPr>
        <w:spacing w:line="360" w:lineRule="auto"/>
        <w:rPr>
          <w:rFonts w:ascii="宋体"/>
          <w:color w:val="auto"/>
          <w:sz w:val="24"/>
          <w:szCs w:val="24"/>
          <w:highlight w:val="none"/>
        </w:rPr>
        <w:outlineLvl w:val="0"/>
      </w:pPr>
      <w:r>
        <w:rPr>
          <w:rFonts w:ascii="宋体"/>
          <w:color w:val="auto"/>
          <w:sz w:val="24"/>
          <w:szCs w:val="24"/>
          <w:highlight w:val="none"/>
        </w:rPr>
      </w:r>
      <w:r/>
    </w:p>
    <w:p>
      <w:pPr>
        <w:jc w:val="center"/>
        <w:spacing w:line="360" w:lineRule="auto"/>
        <w:rPr>
          <w:rFonts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hint="eastAsia" w:ascii="宋体" w:eastAsia="宋体"/>
          <w:color w:val="auto"/>
          <w:sz w:val="24"/>
          <w:szCs w:val="24"/>
          <w:highlight w:val="none"/>
          <w:lang w:eastAsia="zh-CN"/>
        </w:rPr>
        <w:outlineLvl w:val="0"/>
      </w:pPr>
      <w:r>
        <w:rPr>
          <w:rFonts w:hint="eastAsia" w:ascii="宋体" w:cs="宋体"/>
          <w:color w:val="auto"/>
          <w:sz w:val="24"/>
          <w:szCs w:val="24"/>
          <w:highlight w:val="none"/>
        </w:rPr>
        <w:t xml:space="preserve">致：</w:t>
      </w:r>
      <w:r>
        <w:rPr>
          <w:rFonts w:hint="eastAsia" w:ascii="宋体" w:cs="宋体"/>
          <w:color w:val="auto"/>
          <w:sz w:val="24"/>
          <w:szCs w:val="24"/>
          <w:highlight w:val="none"/>
          <w:lang w:eastAsia="zh-CN"/>
        </w:rPr>
        <w:t xml:space="preserve">普信国际工程咨询有限公司</w:t>
      </w:r>
      <w:r/>
    </w:p>
    <w:p>
      <w:pPr>
        <w:spacing w:line="360" w:lineRule="auto"/>
        <w:rPr>
          <w:rFonts w:ascii="宋体"/>
          <w:color w:val="auto"/>
          <w:sz w:val="24"/>
          <w:szCs w:val="24"/>
          <w:highlight w:val="none"/>
        </w:rPr>
        <w:outlineLvl w:val="0"/>
      </w:pPr>
      <w:r>
        <w:rPr>
          <w:rFonts w:ascii="宋体"/>
          <w:color w:val="auto"/>
          <w:sz w:val="24"/>
          <w:szCs w:val="24"/>
          <w:highlight w:val="none"/>
        </w:rPr>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制造商名称）根据（国家名称）法律正式成立的一家制造商，其主要营业地点设在（制造商地址）。兹指派按（国家名称）的法律正式成立的，其主要营业地点设在（报价供应商地址）的（报价供应商名称）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、代表我方在中华人民共和国办理贵方（项目名称）（采购编号）要求提供的由我方制造的货物的有关事宜，并对我方具有约束力。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、我方兹授予（报价供应商名称）全权办理和履行上述我方为完成上述各点所必须的事宜，且有替换或</w:t>
      </w:r>
      <w:r>
        <w:rPr>
          <w:rFonts w:hint="eastAsia" w:ascii="宋体" w:cs="宋体"/>
          <w:color w:val="auto"/>
          <w:sz w:val="24"/>
          <w:szCs w:val="24"/>
          <w:highlight w:val="none"/>
          <w:lang w:eastAsia="zh-CN"/>
        </w:rPr>
        <w:t xml:space="preserve">撤销</w:t>
      </w:r>
      <w:r>
        <w:rPr>
          <w:rFonts w:hint="eastAsia" w:ascii="宋体" w:cs="宋体"/>
          <w:color w:val="auto"/>
          <w:sz w:val="24"/>
          <w:szCs w:val="24"/>
          <w:highlight w:val="none"/>
        </w:rPr>
        <w:t xml:space="preserve">或另行授权的全权。兹确认（报价供应商名称）或正式授权代表依此合法办理一切事宜。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年</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月</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日签署本文件，（报价供应商名称）于</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年</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月</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日接受此件，以此为证。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出具授权书的制造商名称（盖章）：</w:t>
      </w:r>
      <w:r>
        <w:rPr>
          <w:rFonts w:ascii="宋体" w:cs="宋体"/>
          <w:color w:val="auto"/>
          <w:sz w:val="24"/>
          <w:szCs w:val="24"/>
          <w:highlight w:val="none"/>
        </w:rPr>
        <w:t xml:space="preserve">                           </w:t>
      </w:r>
      <w:r/>
    </w:p>
    <w:p>
      <w:pPr>
        <w:spacing w:line="360" w:lineRule="auto"/>
        <w:rPr>
          <w:rFonts w:ascii="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制造商授权代表的签字：</w:t>
      </w:r>
      <w:r/>
    </w:p>
    <w:p>
      <w:pPr>
        <w:spacing w:line="360" w:lineRule="auto"/>
        <w:rPr>
          <w:rFonts w:ascii="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姓名、职务和部门：</w:t>
      </w:r>
      <w:r/>
    </w:p>
    <w:p>
      <w:pPr>
        <w:spacing w:line="360" w:lineRule="auto"/>
        <w:rPr>
          <w:rFonts w:ascii="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日期：</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0"/>
      </w:rPr>
      <w:framePr w:wrap="around" w:vAnchor="text" w:hAnchor="margin" w:xAlign="center" w:y="1"/>
    </w:pPr>
    <w:r>
      <w:rPr>
        <w:rStyle w:val="860"/>
      </w:rPr>
      <w:fldChar w:fldCharType="begin"/>
    </w:r>
    <w:r>
      <w:rPr>
        <w:rStyle w:val="860"/>
      </w:rPr>
      <w:instrText xml:space="preserve">PAGE  </w:instrText>
    </w:r>
    <w:r>
      <w:rPr>
        <w:rStyle w:val="860"/>
      </w:rPr>
      <w:fldChar w:fldCharType="separate"/>
    </w:r>
    <w:r>
      <w:rPr>
        <w:rStyle w:val="860"/>
      </w:rPr>
      <w:t xml:space="preserve">1</w:t>
    </w:r>
    <w:r>
      <w:rPr>
        <w:rStyle w:val="860"/>
      </w:rPr>
      <w:fldChar w:fldCharType="end"/>
    </w:r>
    <w:r/>
  </w:p>
  <w:p>
    <w:pPr>
      <w:pStyle w:val="84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0392" cy="131433"/>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15039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8pt;height:10.3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996" cy="197088"/>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186995" cy="19708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7pt;height:15.5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5"/>
      <w:isLgl w:val="false"/>
      <w:suff w:val="nothing"/>
      <w:lvlText w:val=""/>
      <w:lvlJc w:val="left"/>
      <w:pPr>
        <w:ind w:left="0" w:firstLine="0"/>
      </w:pPr>
      <w:rPr>
        <w:rFonts w:hint="eastAsia"/>
      </w:rPr>
    </w:lvl>
    <w:lvl w:ilvl="6">
      <w:start w:val="1"/>
      <w:numFmt w:val="decimal"/>
      <w:pStyle w:val="1147"/>
      <w:isLgl w:val="false"/>
      <w:suff w:val="nothing"/>
      <w:lvlText w:val=""/>
      <w:lvlJc w:val="left"/>
      <w:pPr>
        <w:ind w:left="0" w:firstLine="0"/>
      </w:pPr>
      <w:rPr>
        <w:rFonts w:hint="eastAsia"/>
      </w:rPr>
    </w:lvl>
    <w:lvl w:ilvl="7">
      <w:start w:val="1"/>
      <w:numFmt w:val="decimal"/>
      <w:pStyle w:val="1149"/>
      <w:isLgl w:val="false"/>
      <w:suff w:val="nothing"/>
      <w:lvlText w:val=""/>
      <w:lvlJc w:val="left"/>
      <w:pPr>
        <w:ind w:left="0" w:firstLine="0"/>
      </w:pPr>
      <w:rPr>
        <w:rFonts w:hint="eastAsia"/>
      </w:rPr>
    </w:lvl>
    <w:lvl w:ilvl="8">
      <w:start w:val="1"/>
      <w:numFmt w:val="decimal"/>
      <w:pStyle w:val="1151"/>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2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5.%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decimal"/>
      <w:pStyle w:val="12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upperLetter"/>
      <w:pStyle w:val="81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japaneseCounting"/>
      <w:pStyle w:val="963"/>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7"/>
  </w:num>
  <w:num w:numId="2">
    <w:abstractNumId w:val="18"/>
  </w:num>
  <w:num w:numId="3">
    <w:abstractNumId w:val="2"/>
  </w:num>
  <w:num w:numId="4">
    <w:abstractNumId w:val="12"/>
  </w:num>
  <w:num w:numId="5">
    <w:abstractNumId w:val="16"/>
  </w:num>
  <w:num w:numId="6">
    <w:abstractNumId w:val="4"/>
  </w:num>
  <w:num w:numId="7">
    <w:abstractNumId w:val="6"/>
  </w:num>
  <w:num w:numId="8">
    <w:abstractNumId w:val="9"/>
  </w:num>
  <w:num w:numId="9">
    <w:abstractNumId w:val="0"/>
  </w:num>
  <w:num w:numId="10">
    <w:abstractNumId w:val="10"/>
  </w:num>
  <w:num w:numId="11">
    <w:abstractNumId w:val="14"/>
  </w:num>
  <w:num w:numId="12">
    <w:abstractNumId w:val="13"/>
  </w:num>
  <w:num w:numId="13">
    <w:abstractNumId w:val="19"/>
  </w:num>
  <w:num w:numId="14">
    <w:abstractNumId w:val="3"/>
  </w:num>
  <w:num w:numId="15">
    <w:abstractNumId w:val="8"/>
  </w:num>
  <w:num w:numId="16">
    <w:abstractNumId w:val="1"/>
  </w:num>
  <w:num w:numId="17">
    <w:abstractNumId w:val="7"/>
  </w:num>
  <w:num w:numId="18">
    <w:abstractNumId w:val="5"/>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next w:val="823"/>
    <w:uiPriority w:val="0"/>
    <w:qFormat/>
    <w:pPr>
      <w:jc w:val="both"/>
      <w:widowControl w:val="off"/>
    </w:pPr>
    <w:rPr>
      <w:rFonts w:ascii="Calibri" w:hAnsi="Calibri" w:eastAsia="Arial" w:cs="Times New Roman"/>
      <w:sz w:val="21"/>
      <w:szCs w:val="22"/>
      <w:lang w:val="en-US" w:eastAsia="zh-CN" w:bidi="ar-SA"/>
    </w:rPr>
  </w:style>
  <w:style w:type="paragraph" w:styleId="812">
    <w:name w:val="Heading 1"/>
    <w:basedOn w:val="811"/>
    <w:next w:val="811"/>
    <w:link w:val="867"/>
    <w:uiPriority w:val="9"/>
    <w:qFormat/>
    <w:pPr>
      <w:jc w:val="center"/>
      <w:keepNext/>
      <w:outlineLvl w:val="0"/>
    </w:pPr>
    <w:rPr>
      <w:rFonts w:ascii="楷体_GB2312" w:hAnsi="Times New Roman" w:eastAsia="楷体_GB2312"/>
      <w:b/>
      <w:sz w:val="28"/>
      <w:szCs w:val="20"/>
    </w:rPr>
  </w:style>
  <w:style w:type="paragraph" w:styleId="813">
    <w:name w:val="Heading 2"/>
    <w:basedOn w:val="811"/>
    <w:next w:val="811"/>
    <w:link w:val="868"/>
    <w:uiPriority w:val="9"/>
    <w:qFormat/>
    <w:pPr>
      <w:jc w:val="center"/>
      <w:keepNext/>
      <w:outlineLvl w:val="1"/>
    </w:pPr>
    <w:rPr>
      <w:rFonts w:ascii="楷体_GB2312" w:hAnsi="Times New Roman" w:eastAsia="楷体_GB2312"/>
      <w:b/>
      <w:bCs/>
      <w:sz w:val="18"/>
      <w:szCs w:val="20"/>
    </w:rPr>
  </w:style>
  <w:style w:type="paragraph" w:styleId="814">
    <w:name w:val="Heading 3"/>
    <w:basedOn w:val="824"/>
    <w:next w:val="811"/>
    <w:link w:val="870"/>
    <w:uiPriority w:val="9"/>
    <w:qFormat/>
    <w:pPr>
      <w:jc w:val="left"/>
      <w:keepNext/>
      <w:outlineLvl w:val="2"/>
    </w:pPr>
    <w:rPr>
      <w:rFonts w:ascii="Arial" w:hAnsi="Arial" w:eastAsia="Arial"/>
      <w:bCs/>
      <w:sz w:val="24"/>
      <w:szCs w:val="24"/>
      <w:lang w:eastAsia="zh-CN"/>
    </w:rPr>
  </w:style>
  <w:style w:type="paragraph" w:styleId="815">
    <w:name w:val="Heading 4"/>
    <w:basedOn w:val="811"/>
    <w:next w:val="811"/>
    <w:link w:val="871"/>
    <w:uiPriority w:val="9"/>
    <w:qFormat/>
    <w:pPr>
      <w:keepNext/>
      <w:outlineLvl w:val="3"/>
    </w:pPr>
    <w:rPr>
      <w:rFonts w:ascii="Times New Roman" w:hAnsi="Times New Roman" w:eastAsia="楷体_GB2312"/>
      <w:b/>
      <w:bCs/>
      <w:sz w:val="15"/>
      <w:szCs w:val="20"/>
    </w:rPr>
  </w:style>
  <w:style w:type="paragraph" w:styleId="816">
    <w:name w:val="Heading 5"/>
    <w:basedOn w:val="811"/>
    <w:next w:val="811"/>
    <w:link w:val="872"/>
    <w:uiPriority w:val="9"/>
    <w:qFormat/>
    <w:pPr>
      <w:numPr>
        <w:ilvl w:val="0"/>
        <w:numId w:val="1"/>
      </w:numPr>
      <w:keepNext/>
      <w:outlineLvl w:val="4"/>
    </w:pPr>
    <w:rPr>
      <w:rFonts w:ascii="楷体_GB2312" w:hAnsi="Times New Roman" w:eastAsia="楷体_GB2312"/>
      <w:bCs/>
      <w:sz w:val="28"/>
      <w:szCs w:val="20"/>
    </w:rPr>
  </w:style>
  <w:style w:type="paragraph" w:styleId="817">
    <w:name w:val="Heading 6"/>
    <w:basedOn w:val="811"/>
    <w:next w:val="811"/>
    <w:link w:val="873"/>
    <w:uiPriority w:val="9"/>
    <w:qFormat/>
    <w:pPr>
      <w:keepLines/>
      <w:keepNext/>
      <w:spacing w:before="320" w:after="200"/>
      <w:outlineLvl w:val="5"/>
    </w:pPr>
    <w:rPr>
      <w:rFonts w:ascii="Arial" w:hAnsi="Arial" w:cs="Arial"/>
      <w:b/>
      <w:bCs/>
      <w:sz w:val="22"/>
    </w:rPr>
  </w:style>
  <w:style w:type="paragraph" w:styleId="818">
    <w:name w:val="Heading 7"/>
    <w:basedOn w:val="811"/>
    <w:next w:val="811"/>
    <w:link w:val="874"/>
    <w:uiPriority w:val="9"/>
    <w:qFormat/>
    <w:pPr>
      <w:keepLines/>
      <w:keepNext/>
      <w:spacing w:before="320" w:after="200"/>
      <w:outlineLvl w:val="6"/>
    </w:pPr>
    <w:rPr>
      <w:rFonts w:ascii="Arial" w:hAnsi="Arial" w:cs="Arial"/>
      <w:b/>
      <w:bCs/>
      <w:i/>
      <w:iCs/>
      <w:sz w:val="22"/>
    </w:rPr>
  </w:style>
  <w:style w:type="paragraph" w:styleId="819">
    <w:name w:val="Heading 8"/>
    <w:basedOn w:val="811"/>
    <w:next w:val="811"/>
    <w:link w:val="875"/>
    <w:uiPriority w:val="9"/>
    <w:qFormat/>
    <w:pPr>
      <w:keepLines/>
      <w:keepNext/>
      <w:spacing w:before="320" w:after="200"/>
      <w:outlineLvl w:val="7"/>
    </w:pPr>
    <w:rPr>
      <w:rFonts w:ascii="Arial" w:hAnsi="Arial" w:cs="Arial"/>
      <w:i/>
      <w:iCs/>
      <w:sz w:val="22"/>
    </w:rPr>
  </w:style>
  <w:style w:type="paragraph" w:styleId="820">
    <w:name w:val="Heading 9"/>
    <w:basedOn w:val="811"/>
    <w:next w:val="811"/>
    <w:link w:val="876"/>
    <w:uiPriority w:val="9"/>
    <w:qFormat/>
    <w:pPr>
      <w:keepLines/>
      <w:keepNext/>
      <w:spacing w:before="320" w:after="200"/>
      <w:outlineLvl w:val="8"/>
    </w:pPr>
    <w:rPr>
      <w:rFonts w:ascii="Arial" w:hAnsi="Arial" w:cs="Arial"/>
      <w:i/>
      <w:iCs/>
      <w:szCs w:val="21"/>
    </w:rPr>
  </w:style>
  <w:style w:type="character" w:styleId="821" w:default="1">
    <w:name w:val="Default Paragraph Font"/>
    <w:uiPriority w:val="1"/>
    <w:unhideWhenUsed/>
    <w:qFormat/>
  </w:style>
  <w:style w:type="table" w:styleId="822" w:default="1">
    <w:name w:val="Normal Table"/>
    <w:uiPriority w:val="99"/>
    <w:unhideWhenUsed/>
    <w:qFormat/>
    <w:tblPr>
      <w:tblCellMar>
        <w:left w:w="108" w:type="dxa"/>
        <w:top w:w="0" w:type="dxa"/>
        <w:right w:w="108" w:type="dxa"/>
        <w:bottom w:w="0" w:type="dxa"/>
      </w:tblCellMar>
    </w:tblPr>
  </w:style>
  <w:style w:type="paragraph" w:styleId="823">
    <w:name w:val="Body Text"/>
    <w:basedOn w:val="811"/>
    <w:link w:val="866"/>
    <w:uiPriority w:val="99"/>
    <w:qFormat/>
    <w:rPr>
      <w:rFonts w:ascii="华文中宋" w:hAnsi="Times New Roman" w:eastAsia="华文中宋"/>
      <w:bCs/>
      <w:sz w:val="28"/>
      <w:szCs w:val="20"/>
    </w:rPr>
  </w:style>
  <w:style w:type="paragraph" w:styleId="824" w:customStyle="1">
    <w:name w:val="Cn Heading3"/>
    <w:basedOn w:val="825"/>
    <w:uiPriority w:val="0"/>
    <w:qFormat/>
    <w:pPr>
      <w:ind w:firstLine="0"/>
      <w:spacing w:line="480" w:lineRule="auto"/>
      <w:outlineLvl w:val="2"/>
    </w:pPr>
    <w:rPr>
      <w:rFonts w:ascii="微软雅黑" w:hAnsi="微软雅黑" w:eastAsia="微软雅黑"/>
      <w:b/>
      <w:sz w:val="28"/>
      <w:szCs w:val="28"/>
      <w:lang w:eastAsia="ja-JP"/>
    </w:rPr>
  </w:style>
  <w:style w:type="paragraph" w:styleId="825" w:customStyle="1">
    <w:name w:val="列出段落1"/>
    <w:basedOn w:val="811"/>
    <w:link w:val="869"/>
    <w:uiPriority w:val="0"/>
    <w:qFormat/>
    <w:pPr>
      <w:ind w:firstLine="420"/>
      <w:spacing w:before="120" w:after="120" w:line="360" w:lineRule="auto"/>
    </w:pPr>
    <w:rPr>
      <w:rFonts w:eastAsia="宋体"/>
      <w:sz w:val="24"/>
    </w:rPr>
  </w:style>
  <w:style w:type="paragraph" w:styleId="826">
    <w:name w:val="toc 7"/>
    <w:basedOn w:val="811"/>
    <w:next w:val="811"/>
    <w:uiPriority w:val="39"/>
    <w:unhideWhenUsed/>
    <w:qFormat/>
    <w:pPr>
      <w:ind w:left="1701"/>
      <w:spacing w:after="57"/>
    </w:pPr>
  </w:style>
  <w:style w:type="paragraph" w:styleId="827">
    <w:name w:val="Normal Indent"/>
    <w:basedOn w:val="811"/>
    <w:uiPriority w:val="99"/>
    <w:qFormat/>
    <w:pPr>
      <w:ind w:firstLine="420"/>
    </w:pPr>
    <w:rPr>
      <w:rFonts w:ascii="Times New Roman" w:hAnsi="Times New Roman" w:eastAsia="宋体"/>
      <w:szCs w:val="20"/>
    </w:rPr>
  </w:style>
  <w:style w:type="paragraph" w:styleId="828">
    <w:name w:val="Caption"/>
    <w:basedOn w:val="811"/>
    <w:next w:val="811"/>
    <w:uiPriority w:val="35"/>
    <w:qFormat/>
    <w:pPr>
      <w:spacing w:line="276" w:lineRule="auto"/>
    </w:pPr>
    <w:rPr>
      <w:rFonts w:ascii="Times New Roman" w:hAnsi="Times New Roman" w:eastAsia="宋体"/>
      <w:b/>
      <w:bCs/>
      <w:color w:val="4f81bd"/>
      <w:sz w:val="18"/>
      <w:szCs w:val="18"/>
    </w:rPr>
  </w:style>
  <w:style w:type="paragraph" w:styleId="829">
    <w:name w:val="Document Map"/>
    <w:basedOn w:val="811"/>
    <w:link w:val="877"/>
    <w:uiPriority w:val="99"/>
    <w:semiHidden/>
    <w:qFormat/>
    <w:pPr>
      <w:shd w:val="clear" w:color="auto" w:fill="000080"/>
    </w:pPr>
    <w:rPr>
      <w:rFonts w:ascii="Times New Roman" w:hAnsi="Times New Roman" w:eastAsia="宋体"/>
      <w:sz w:val="20"/>
      <w:szCs w:val="20"/>
    </w:rPr>
  </w:style>
  <w:style w:type="paragraph" w:styleId="830">
    <w:name w:val="annotation text"/>
    <w:basedOn w:val="811"/>
    <w:link w:val="878"/>
    <w:uiPriority w:val="99"/>
    <w:unhideWhenUsed/>
    <w:qFormat/>
    <w:pPr>
      <w:jc w:val="left"/>
    </w:pPr>
  </w:style>
  <w:style w:type="paragraph" w:styleId="831">
    <w:name w:val="Body Text Indent"/>
    <w:basedOn w:val="811"/>
    <w:link w:val="879"/>
    <w:uiPriority w:val="99"/>
    <w:qFormat/>
    <w:pPr>
      <w:ind w:firstLine="576"/>
    </w:pPr>
    <w:rPr>
      <w:rFonts w:ascii="Times New Roman" w:hAnsi="Times New Roman" w:eastAsia="宋体"/>
      <w:b/>
      <w:sz w:val="30"/>
      <w:szCs w:val="20"/>
    </w:rPr>
  </w:style>
  <w:style w:type="paragraph" w:styleId="832">
    <w:name w:val="index 4"/>
    <w:basedOn w:val="811"/>
    <w:next w:val="811"/>
    <w:uiPriority w:val="99"/>
    <w:qFormat/>
    <w:pPr>
      <w:ind w:left="600"/>
    </w:pPr>
    <w:rPr>
      <w:szCs w:val="24"/>
    </w:rPr>
  </w:style>
  <w:style w:type="paragraph" w:styleId="833">
    <w:name w:val="toc 5"/>
    <w:basedOn w:val="811"/>
    <w:next w:val="811"/>
    <w:uiPriority w:val="39"/>
    <w:unhideWhenUsed/>
    <w:qFormat/>
    <w:pPr>
      <w:ind w:left="1134"/>
      <w:spacing w:after="57"/>
    </w:pPr>
  </w:style>
  <w:style w:type="paragraph" w:styleId="834">
    <w:name w:val="toc 3"/>
    <w:basedOn w:val="811"/>
    <w:next w:val="811"/>
    <w:uiPriority w:val="39"/>
    <w:unhideWhenUsed/>
    <w:qFormat/>
    <w:pPr>
      <w:ind w:left="567"/>
      <w:spacing w:after="57"/>
    </w:pPr>
  </w:style>
  <w:style w:type="paragraph" w:styleId="835">
    <w:name w:val="Plain Text"/>
    <w:basedOn w:val="811"/>
    <w:uiPriority w:val="0"/>
    <w:qFormat/>
    <w:rPr>
      <w:rFonts w:ascii="黑体"/>
      <w:szCs w:val="21"/>
    </w:rPr>
  </w:style>
  <w:style w:type="paragraph" w:styleId="836">
    <w:name w:val="toc 8"/>
    <w:basedOn w:val="811"/>
    <w:next w:val="811"/>
    <w:uiPriority w:val="39"/>
    <w:unhideWhenUsed/>
    <w:qFormat/>
    <w:pPr>
      <w:ind w:left="1984"/>
      <w:spacing w:after="57"/>
    </w:pPr>
  </w:style>
  <w:style w:type="paragraph" w:styleId="837">
    <w:name w:val="Date"/>
    <w:basedOn w:val="811"/>
    <w:next w:val="811"/>
    <w:link w:val="880"/>
    <w:uiPriority w:val="99"/>
    <w:qFormat/>
    <w:rPr>
      <w:rFonts w:ascii="Times New Roman" w:hAnsi="Times New Roman" w:eastAsia="黑体"/>
      <w:b/>
      <w:sz w:val="36"/>
      <w:szCs w:val="20"/>
    </w:rPr>
  </w:style>
  <w:style w:type="paragraph" w:styleId="838">
    <w:name w:val="Body Text Indent 2"/>
    <w:basedOn w:val="811"/>
    <w:link w:val="881"/>
    <w:uiPriority w:val="99"/>
    <w:qFormat/>
    <w:pPr>
      <w:ind w:left="900"/>
    </w:pPr>
    <w:rPr>
      <w:rFonts w:ascii="楷体_GB2312" w:hAnsi="Times New Roman" w:eastAsia="楷体_GB2312"/>
      <w:b/>
      <w:sz w:val="28"/>
      <w:szCs w:val="20"/>
    </w:rPr>
  </w:style>
  <w:style w:type="paragraph" w:styleId="839">
    <w:name w:val="endnote text"/>
    <w:basedOn w:val="811"/>
    <w:link w:val="882"/>
    <w:uiPriority w:val="99"/>
    <w:unhideWhenUsed/>
    <w:qFormat/>
    <w:rPr>
      <w:rFonts w:ascii="Times New Roman" w:hAnsi="Times New Roman" w:eastAsia="宋体"/>
      <w:sz w:val="20"/>
      <w:szCs w:val="21"/>
    </w:rPr>
  </w:style>
  <w:style w:type="paragraph" w:styleId="840">
    <w:name w:val="Balloon Text"/>
    <w:basedOn w:val="811"/>
    <w:link w:val="883"/>
    <w:uiPriority w:val="99"/>
    <w:unhideWhenUsed/>
    <w:qFormat/>
    <w:rPr>
      <w:rFonts w:ascii="Times New Roman" w:hAnsi="Times New Roman" w:eastAsia="宋体"/>
      <w:sz w:val="18"/>
      <w:szCs w:val="18"/>
    </w:rPr>
  </w:style>
  <w:style w:type="paragraph" w:styleId="841">
    <w:name w:val="Footer"/>
    <w:basedOn w:val="811"/>
    <w:link w:val="884"/>
    <w:uiPriority w:val="99"/>
    <w:qFormat/>
    <w:pPr>
      <w:jc w:val="left"/>
      <w:tabs>
        <w:tab w:val="center" w:pos="4153" w:leader="none"/>
        <w:tab w:val="right" w:pos="8306" w:leader="none"/>
      </w:tabs>
    </w:pPr>
    <w:rPr>
      <w:rFonts w:ascii="Times New Roman" w:hAnsi="Times New Roman" w:eastAsia="宋体"/>
      <w:sz w:val="18"/>
      <w:szCs w:val="20"/>
    </w:rPr>
  </w:style>
  <w:style w:type="paragraph" w:styleId="842">
    <w:name w:val="Header"/>
    <w:basedOn w:val="811"/>
    <w:link w:val="88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43">
    <w:name w:val="toc 1"/>
    <w:basedOn w:val="811"/>
    <w:next w:val="811"/>
    <w:uiPriority w:val="39"/>
    <w:unhideWhenUsed/>
    <w:qFormat/>
    <w:pPr>
      <w:spacing w:after="57"/>
    </w:pPr>
  </w:style>
  <w:style w:type="paragraph" w:styleId="844">
    <w:name w:val="toc 4"/>
    <w:basedOn w:val="811"/>
    <w:next w:val="811"/>
    <w:uiPriority w:val="39"/>
    <w:unhideWhenUsed/>
    <w:qFormat/>
    <w:pPr>
      <w:ind w:left="850"/>
      <w:spacing w:after="57"/>
    </w:pPr>
  </w:style>
  <w:style w:type="paragraph" w:styleId="845">
    <w:name w:val="Subtitle"/>
    <w:basedOn w:val="811"/>
    <w:next w:val="811"/>
    <w:link w:val="886"/>
    <w:uiPriority w:val="11"/>
    <w:qFormat/>
    <w:pPr>
      <w:ind w:firstLine="471"/>
      <w:jc w:val="center"/>
      <w:spacing w:before="240" w:after="60" w:line="312" w:lineRule="atLeast"/>
      <w:outlineLvl w:val="1"/>
    </w:pPr>
    <w:rPr>
      <w:rFonts w:ascii="Arial" w:hAnsi="Arial"/>
      <w:b/>
      <w:bCs/>
      <w:sz w:val="32"/>
      <w:szCs w:val="32"/>
    </w:rPr>
  </w:style>
  <w:style w:type="paragraph" w:styleId="846">
    <w:name w:val="List"/>
    <w:basedOn w:val="811"/>
    <w:uiPriority w:val="0"/>
    <w:qFormat/>
    <w:pPr>
      <w:ind w:firstLine="480"/>
      <w:spacing w:after="20" w:line="360" w:lineRule="auto"/>
      <w:tabs>
        <w:tab w:val="left" w:pos="420" w:leader="none"/>
      </w:tabs>
    </w:pPr>
    <w:rPr>
      <w:rFonts w:ascii="宋体" w:hAnsi="宋体" w:eastAsia="宋体" w:cs="宋体"/>
      <w:sz w:val="24"/>
      <w:szCs w:val="24"/>
    </w:rPr>
  </w:style>
  <w:style w:type="paragraph" w:styleId="847">
    <w:name w:val="footnote text"/>
    <w:basedOn w:val="811"/>
    <w:link w:val="887"/>
    <w:uiPriority w:val="99"/>
    <w:unhideWhenUsed/>
    <w:qFormat/>
    <w:pPr>
      <w:spacing w:after="40"/>
    </w:pPr>
    <w:rPr>
      <w:rFonts w:ascii="Times New Roman" w:hAnsi="Times New Roman" w:eastAsia="宋体"/>
      <w:sz w:val="18"/>
      <w:szCs w:val="21"/>
    </w:rPr>
  </w:style>
  <w:style w:type="paragraph" w:styleId="848">
    <w:name w:val="toc 6"/>
    <w:basedOn w:val="811"/>
    <w:next w:val="811"/>
    <w:uiPriority w:val="39"/>
    <w:unhideWhenUsed/>
    <w:qFormat/>
    <w:pPr>
      <w:ind w:left="1417"/>
      <w:spacing w:after="57"/>
    </w:pPr>
  </w:style>
  <w:style w:type="paragraph" w:styleId="849">
    <w:name w:val="Body Text Indent 3"/>
    <w:basedOn w:val="811"/>
    <w:link w:val="888"/>
    <w:uiPriority w:val="99"/>
    <w:qFormat/>
    <w:pPr>
      <w:ind w:left="359" w:firstLine="359"/>
    </w:pPr>
    <w:rPr>
      <w:rFonts w:ascii="Times New Roman" w:hAnsi="Times New Roman" w:eastAsia="宋体"/>
      <w:sz w:val="20"/>
      <w:szCs w:val="20"/>
    </w:rPr>
  </w:style>
  <w:style w:type="paragraph" w:styleId="850">
    <w:name w:val="table of figures"/>
    <w:basedOn w:val="811"/>
    <w:next w:val="811"/>
    <w:uiPriority w:val="99"/>
    <w:unhideWhenUsed/>
    <w:qFormat/>
    <w:rPr>
      <w:rFonts w:ascii="Times New Roman" w:hAnsi="Times New Roman" w:eastAsia="宋体"/>
      <w:szCs w:val="21"/>
    </w:rPr>
  </w:style>
  <w:style w:type="paragraph" w:styleId="851">
    <w:name w:val="toc 2"/>
    <w:basedOn w:val="811"/>
    <w:next w:val="811"/>
    <w:uiPriority w:val="39"/>
    <w:unhideWhenUsed/>
    <w:qFormat/>
    <w:pPr>
      <w:ind w:left="283"/>
      <w:spacing w:after="57"/>
    </w:pPr>
  </w:style>
  <w:style w:type="paragraph" w:styleId="852">
    <w:name w:val="toc 9"/>
    <w:basedOn w:val="811"/>
    <w:next w:val="811"/>
    <w:uiPriority w:val="39"/>
    <w:unhideWhenUsed/>
    <w:qFormat/>
    <w:pPr>
      <w:ind w:left="2268"/>
      <w:spacing w:after="57"/>
    </w:pPr>
  </w:style>
  <w:style w:type="paragraph" w:styleId="853">
    <w:name w:val="Body Text 2"/>
    <w:basedOn w:val="811"/>
    <w:link w:val="889"/>
    <w:uiPriority w:val="99"/>
    <w:qFormat/>
    <w:pPr>
      <w:spacing w:after="120" w:line="480" w:lineRule="auto"/>
    </w:pPr>
    <w:rPr>
      <w:rFonts w:ascii="Times New Roman" w:hAnsi="Times New Roman" w:eastAsia="宋体"/>
      <w:sz w:val="20"/>
      <w:szCs w:val="20"/>
    </w:rPr>
  </w:style>
  <w:style w:type="paragraph" w:styleId="854">
    <w:name w:val="Normal (Web)"/>
    <w:basedOn w:val="81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5">
    <w:name w:val="Title"/>
    <w:basedOn w:val="811"/>
    <w:next w:val="811"/>
    <w:link w:val="890"/>
    <w:uiPriority w:val="10"/>
    <w:qFormat/>
    <w:pPr>
      <w:contextualSpacing/>
      <w:spacing w:before="300" w:after="200"/>
    </w:pPr>
    <w:rPr>
      <w:rFonts w:ascii="Times New Roman" w:hAnsi="Times New Roman" w:eastAsia="宋体"/>
      <w:sz w:val="48"/>
      <w:szCs w:val="48"/>
    </w:rPr>
  </w:style>
  <w:style w:type="paragraph" w:styleId="856">
    <w:name w:val="annotation subject"/>
    <w:basedOn w:val="830"/>
    <w:next w:val="830"/>
    <w:link w:val="891"/>
    <w:uiPriority w:val="99"/>
    <w:unhideWhenUsed/>
    <w:qFormat/>
    <w:rPr>
      <w:b/>
      <w:bCs/>
    </w:rPr>
  </w:style>
  <w:style w:type="table" w:styleId="857">
    <w:name w:val="Table Grid"/>
    <w:basedOn w:val="822"/>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uiPriority w:val="99"/>
    <w:qFormat/>
    <w:rPr>
      <w:rFonts w:cs="Times New Roman"/>
      <w:b/>
      <w:bCs/>
    </w:rPr>
  </w:style>
  <w:style w:type="character" w:styleId="859">
    <w:name w:val="endnote reference"/>
    <w:uiPriority w:val="99"/>
    <w:unhideWhenUsed/>
    <w:qFormat/>
    <w:rPr>
      <w:vertAlign w:val="superscript"/>
    </w:rPr>
  </w:style>
  <w:style w:type="character" w:styleId="860">
    <w:name w:val="page number"/>
    <w:uiPriority w:val="99"/>
    <w:qFormat/>
    <w:rPr>
      <w:rFonts w:cs="Times New Roman"/>
    </w:rPr>
  </w:style>
  <w:style w:type="character" w:styleId="861">
    <w:name w:val="HTML Typewriter"/>
    <w:uiPriority w:val="99"/>
    <w:qFormat/>
    <w:rPr>
      <w:rFonts w:ascii="宋体" w:hAnsi="宋体" w:eastAsia="宋体" w:cs="宋体"/>
      <w:sz w:val="24"/>
      <w:szCs w:val="24"/>
    </w:rPr>
  </w:style>
  <w:style w:type="character" w:styleId="862">
    <w:name w:val="Hyperlink"/>
    <w:uiPriority w:val="99"/>
    <w:qFormat/>
    <w:rPr>
      <w:rFonts w:cs="Times New Roman"/>
      <w:color w:val="000000"/>
      <w:u w:val="none"/>
    </w:rPr>
  </w:style>
  <w:style w:type="character" w:styleId="863">
    <w:name w:val="annotation reference"/>
    <w:basedOn w:val="821"/>
    <w:uiPriority w:val="0"/>
    <w:unhideWhenUsed/>
    <w:qFormat/>
    <w:rPr>
      <w:sz w:val="21"/>
      <w:szCs w:val="21"/>
    </w:rPr>
  </w:style>
  <w:style w:type="character" w:styleId="864">
    <w:name w:val="footnote reference"/>
    <w:uiPriority w:val="99"/>
    <w:unhideWhenUsed/>
    <w:qFormat/>
    <w:rPr>
      <w:vertAlign w:val="superscript"/>
    </w:rPr>
  </w:style>
  <w:style w:type="paragraph" w:styleId="865" w:customStyle="1">
    <w:name w:val="明显引用1"/>
    <w:next w:val="811"/>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66" w:customStyle="1">
    <w:name w:val="正文文本 字符"/>
    <w:basedOn w:val="821"/>
    <w:link w:val="823"/>
    <w:uiPriority w:val="99"/>
    <w:qFormat/>
    <w:rPr>
      <w:rFonts w:ascii="华文中宋" w:hAnsi="Times New Roman" w:eastAsia="华文中宋" w:cs="Times New Roman"/>
      <w:bCs/>
      <w:sz w:val="28"/>
      <w:szCs w:val="20"/>
    </w:rPr>
  </w:style>
  <w:style w:type="character" w:styleId="867" w:customStyle="1">
    <w:name w:val="标题 1 字符"/>
    <w:basedOn w:val="821"/>
    <w:link w:val="812"/>
    <w:uiPriority w:val="9"/>
    <w:qFormat/>
    <w:rPr>
      <w:rFonts w:ascii="楷体_GB2312" w:hAnsi="Times New Roman" w:eastAsia="楷体_GB2312" w:cs="Times New Roman"/>
      <w:b/>
      <w:sz w:val="28"/>
      <w:szCs w:val="20"/>
    </w:rPr>
  </w:style>
  <w:style w:type="character" w:styleId="868" w:customStyle="1">
    <w:name w:val="标题 2 字符"/>
    <w:basedOn w:val="821"/>
    <w:link w:val="813"/>
    <w:uiPriority w:val="9"/>
    <w:qFormat/>
    <w:rPr>
      <w:rFonts w:ascii="楷体_GB2312" w:hAnsi="Times New Roman" w:eastAsia="楷体_GB2312" w:cs="Times New Roman"/>
      <w:b/>
      <w:bCs/>
      <w:sz w:val="18"/>
      <w:szCs w:val="20"/>
    </w:rPr>
  </w:style>
  <w:style w:type="character" w:styleId="869" w:customStyle="1">
    <w:name w:val="列出段落 Char"/>
    <w:link w:val="825"/>
    <w:uiPriority w:val="0"/>
    <w:qFormat/>
    <w:rPr>
      <w:rFonts w:ascii="Calibri" w:hAnsi="Calibri" w:eastAsia="宋体" w:cs="Times New Roman"/>
      <w:sz w:val="24"/>
      <w:szCs w:val="22"/>
    </w:rPr>
  </w:style>
  <w:style w:type="character" w:styleId="870" w:customStyle="1">
    <w:name w:val="标题 3 字符"/>
    <w:basedOn w:val="821"/>
    <w:link w:val="814"/>
    <w:uiPriority w:val="9"/>
    <w:qFormat/>
    <w:rPr>
      <w:rFonts w:ascii="Arial" w:hAnsi="Arial"/>
      <w:b/>
      <w:bCs/>
      <w:sz w:val="24"/>
      <w:szCs w:val="24"/>
    </w:rPr>
  </w:style>
  <w:style w:type="character" w:styleId="871" w:customStyle="1">
    <w:name w:val="标题 4 字符"/>
    <w:basedOn w:val="821"/>
    <w:link w:val="815"/>
    <w:uiPriority w:val="9"/>
    <w:qFormat/>
    <w:rPr>
      <w:rFonts w:ascii="Times New Roman" w:hAnsi="Times New Roman" w:eastAsia="楷体_GB2312" w:cs="Times New Roman"/>
      <w:b/>
      <w:bCs/>
      <w:sz w:val="15"/>
    </w:rPr>
  </w:style>
  <w:style w:type="character" w:styleId="872" w:customStyle="1">
    <w:name w:val="标题 5 字符"/>
    <w:basedOn w:val="821"/>
    <w:link w:val="816"/>
    <w:uiPriority w:val="9"/>
    <w:qFormat/>
    <w:rPr>
      <w:rFonts w:ascii="楷体_GB2312" w:hAnsi="Times New Roman" w:eastAsia="楷体_GB2312" w:cs="Times New Roman"/>
      <w:bCs/>
      <w:sz w:val="28"/>
    </w:rPr>
  </w:style>
  <w:style w:type="character" w:styleId="873" w:customStyle="1">
    <w:name w:val="标题 6 字符"/>
    <w:basedOn w:val="821"/>
    <w:link w:val="817"/>
    <w:uiPriority w:val="9"/>
    <w:qFormat/>
    <w:rPr>
      <w:rFonts w:ascii="Arial" w:hAnsi="Arial" w:eastAsia="Arial" w:cs="Arial"/>
      <w:b/>
      <w:bCs/>
      <w:sz w:val="22"/>
      <w:szCs w:val="22"/>
    </w:rPr>
  </w:style>
  <w:style w:type="character" w:styleId="874" w:customStyle="1">
    <w:name w:val="标题 7 字符"/>
    <w:basedOn w:val="821"/>
    <w:link w:val="818"/>
    <w:uiPriority w:val="9"/>
    <w:qFormat/>
    <w:rPr>
      <w:rFonts w:ascii="Arial" w:hAnsi="Arial" w:eastAsia="Arial" w:cs="Arial"/>
      <w:b/>
      <w:bCs/>
      <w:i/>
      <w:iCs/>
      <w:sz w:val="22"/>
      <w:szCs w:val="22"/>
    </w:rPr>
  </w:style>
  <w:style w:type="character" w:styleId="875" w:customStyle="1">
    <w:name w:val="标题 8 字符"/>
    <w:basedOn w:val="821"/>
    <w:link w:val="819"/>
    <w:uiPriority w:val="9"/>
    <w:qFormat/>
    <w:rPr>
      <w:rFonts w:ascii="Arial" w:hAnsi="Arial" w:eastAsia="Arial" w:cs="Arial"/>
      <w:i/>
      <w:iCs/>
      <w:sz w:val="22"/>
      <w:szCs w:val="22"/>
    </w:rPr>
  </w:style>
  <w:style w:type="character" w:styleId="876" w:customStyle="1">
    <w:name w:val="标题 9 字符"/>
    <w:basedOn w:val="821"/>
    <w:link w:val="820"/>
    <w:uiPriority w:val="9"/>
    <w:qFormat/>
    <w:rPr>
      <w:rFonts w:ascii="Arial" w:hAnsi="Arial" w:eastAsia="Arial" w:cs="Arial"/>
      <w:i/>
      <w:iCs/>
      <w:sz w:val="21"/>
      <w:szCs w:val="21"/>
    </w:rPr>
  </w:style>
  <w:style w:type="character" w:styleId="877" w:customStyle="1">
    <w:name w:val="文档结构图 字符"/>
    <w:basedOn w:val="821"/>
    <w:link w:val="829"/>
    <w:uiPriority w:val="99"/>
    <w:semiHidden/>
    <w:qFormat/>
    <w:rPr>
      <w:rFonts w:ascii="Times New Roman" w:hAnsi="Times New Roman" w:eastAsia="宋体" w:cs="Times New Roman"/>
      <w:sz w:val="20"/>
      <w:szCs w:val="20"/>
      <w:shd w:val="clear" w:color="auto" w:fill="000080"/>
    </w:rPr>
  </w:style>
  <w:style w:type="character" w:styleId="878" w:customStyle="1">
    <w:name w:val="批注文字 字符"/>
    <w:basedOn w:val="821"/>
    <w:link w:val="830"/>
    <w:uiPriority w:val="99"/>
    <w:semiHidden/>
    <w:qFormat/>
  </w:style>
  <w:style w:type="character" w:styleId="879" w:customStyle="1">
    <w:name w:val="正文文本缩进 字符"/>
    <w:basedOn w:val="821"/>
    <w:link w:val="831"/>
    <w:uiPriority w:val="99"/>
    <w:qFormat/>
    <w:rPr>
      <w:rFonts w:ascii="Times New Roman" w:hAnsi="Times New Roman" w:eastAsia="宋体" w:cs="Times New Roman"/>
      <w:b/>
      <w:sz w:val="30"/>
      <w:szCs w:val="20"/>
    </w:rPr>
  </w:style>
  <w:style w:type="character" w:styleId="880" w:customStyle="1">
    <w:name w:val="日期 字符"/>
    <w:basedOn w:val="821"/>
    <w:link w:val="837"/>
    <w:uiPriority w:val="99"/>
    <w:qFormat/>
    <w:rPr>
      <w:rFonts w:ascii="Times New Roman" w:hAnsi="Times New Roman" w:eastAsia="黑体" w:cs="Times New Roman"/>
      <w:b/>
      <w:sz w:val="36"/>
      <w:szCs w:val="20"/>
    </w:rPr>
  </w:style>
  <w:style w:type="character" w:styleId="881" w:customStyle="1">
    <w:name w:val="正文文本缩进 2 字符"/>
    <w:basedOn w:val="821"/>
    <w:link w:val="838"/>
    <w:uiPriority w:val="99"/>
    <w:qFormat/>
    <w:rPr>
      <w:rFonts w:ascii="楷体_GB2312" w:hAnsi="Times New Roman" w:eastAsia="楷体_GB2312" w:cs="Times New Roman"/>
      <w:b/>
      <w:sz w:val="28"/>
      <w:szCs w:val="20"/>
    </w:rPr>
  </w:style>
  <w:style w:type="character" w:styleId="882" w:customStyle="1">
    <w:name w:val="尾注文本 字符"/>
    <w:basedOn w:val="821"/>
    <w:link w:val="839"/>
    <w:uiPriority w:val="99"/>
    <w:qFormat/>
    <w:rPr>
      <w:rFonts w:ascii="Times New Roman" w:hAnsi="Times New Roman" w:eastAsia="宋体" w:cs="Times New Roman"/>
      <w:szCs w:val="21"/>
    </w:rPr>
  </w:style>
  <w:style w:type="character" w:styleId="883" w:customStyle="1">
    <w:name w:val="批注框文本 字符"/>
    <w:basedOn w:val="821"/>
    <w:link w:val="840"/>
    <w:uiPriority w:val="99"/>
    <w:semiHidden/>
    <w:qFormat/>
    <w:rPr>
      <w:rFonts w:ascii="Times New Roman" w:hAnsi="Times New Roman" w:eastAsia="宋体" w:cs="Times New Roman"/>
      <w:sz w:val="18"/>
      <w:szCs w:val="18"/>
    </w:rPr>
  </w:style>
  <w:style w:type="character" w:styleId="884" w:customStyle="1">
    <w:name w:val="页脚 字符"/>
    <w:basedOn w:val="821"/>
    <w:link w:val="841"/>
    <w:uiPriority w:val="99"/>
    <w:qFormat/>
    <w:rPr>
      <w:rFonts w:ascii="Times New Roman" w:hAnsi="Times New Roman" w:eastAsia="宋体" w:cs="Times New Roman"/>
      <w:sz w:val="18"/>
      <w:szCs w:val="20"/>
    </w:rPr>
  </w:style>
  <w:style w:type="character" w:styleId="885" w:customStyle="1">
    <w:name w:val="页眉 字符"/>
    <w:basedOn w:val="821"/>
    <w:link w:val="842"/>
    <w:uiPriority w:val="99"/>
    <w:qFormat/>
    <w:rPr>
      <w:rFonts w:ascii="Times New Roman" w:hAnsi="Times New Roman" w:eastAsia="宋体" w:cs="Times New Roman"/>
      <w:sz w:val="18"/>
      <w:szCs w:val="20"/>
    </w:rPr>
  </w:style>
  <w:style w:type="character" w:styleId="886" w:customStyle="1">
    <w:name w:val="副标题 字符"/>
    <w:link w:val="845"/>
    <w:uiPriority w:val="11"/>
    <w:qFormat/>
    <w:rPr>
      <w:rFonts w:ascii="Arial" w:hAnsi="Arial"/>
      <w:b/>
      <w:bCs/>
      <w:sz w:val="32"/>
      <w:szCs w:val="32"/>
    </w:rPr>
  </w:style>
  <w:style w:type="character" w:styleId="887" w:customStyle="1">
    <w:name w:val="脚注文本 字符"/>
    <w:basedOn w:val="821"/>
    <w:link w:val="847"/>
    <w:uiPriority w:val="99"/>
    <w:qFormat/>
    <w:rPr>
      <w:rFonts w:ascii="Times New Roman" w:hAnsi="Times New Roman" w:eastAsia="宋体" w:cs="Times New Roman"/>
      <w:sz w:val="18"/>
      <w:szCs w:val="21"/>
    </w:rPr>
  </w:style>
  <w:style w:type="character" w:styleId="888" w:customStyle="1">
    <w:name w:val="正文文本缩进 3 字符"/>
    <w:basedOn w:val="821"/>
    <w:link w:val="849"/>
    <w:uiPriority w:val="99"/>
    <w:qFormat/>
    <w:rPr>
      <w:rFonts w:ascii="Times New Roman" w:hAnsi="Times New Roman" w:eastAsia="宋体" w:cs="Times New Roman"/>
      <w:sz w:val="20"/>
      <w:szCs w:val="20"/>
    </w:rPr>
  </w:style>
  <w:style w:type="character" w:styleId="889" w:customStyle="1">
    <w:name w:val="正文文本 2 字符"/>
    <w:basedOn w:val="821"/>
    <w:link w:val="853"/>
    <w:uiPriority w:val="99"/>
    <w:qFormat/>
    <w:rPr>
      <w:rFonts w:ascii="Times New Roman" w:hAnsi="Times New Roman" w:eastAsia="宋体" w:cs="Times New Roman"/>
      <w:sz w:val="20"/>
      <w:szCs w:val="20"/>
    </w:rPr>
  </w:style>
  <w:style w:type="character" w:styleId="890" w:customStyle="1">
    <w:name w:val="标题 字符"/>
    <w:basedOn w:val="821"/>
    <w:link w:val="855"/>
    <w:uiPriority w:val="10"/>
    <w:qFormat/>
    <w:rPr>
      <w:rFonts w:ascii="Times New Roman" w:hAnsi="Times New Roman" w:eastAsia="宋体" w:cs="Times New Roman"/>
      <w:sz w:val="48"/>
      <w:szCs w:val="48"/>
    </w:rPr>
  </w:style>
  <w:style w:type="character" w:styleId="891" w:customStyle="1">
    <w:name w:val="批注主题 字符"/>
    <w:basedOn w:val="878"/>
    <w:link w:val="856"/>
    <w:uiPriority w:val="99"/>
    <w:semiHidden/>
    <w:qFormat/>
    <w:rPr>
      <w:b/>
      <w:bCs/>
    </w:rPr>
  </w:style>
  <w:style w:type="paragraph" w:styleId="892" w:customStyle="1">
    <w:name w:val="目录 7111"/>
    <w:basedOn w:val="811"/>
    <w:next w:val="811"/>
    <w:uiPriority w:val="39"/>
    <w:unhideWhenUsed/>
    <w:qFormat/>
    <w:pPr>
      <w:ind w:left="1701"/>
      <w:spacing w:after="57"/>
    </w:pPr>
    <w:rPr>
      <w:rFonts w:ascii="Times New Roman" w:hAnsi="Times New Roman" w:eastAsia="宋体"/>
      <w:szCs w:val="21"/>
    </w:rPr>
  </w:style>
  <w:style w:type="paragraph" w:styleId="893" w:customStyle="1">
    <w:name w:val="目录 5111"/>
    <w:basedOn w:val="811"/>
    <w:next w:val="811"/>
    <w:uiPriority w:val="39"/>
    <w:unhideWhenUsed/>
    <w:qFormat/>
    <w:pPr>
      <w:ind w:left="1134"/>
      <w:spacing w:after="57"/>
    </w:pPr>
    <w:rPr>
      <w:rFonts w:ascii="Times New Roman" w:hAnsi="Times New Roman" w:eastAsia="宋体"/>
      <w:szCs w:val="21"/>
    </w:rPr>
  </w:style>
  <w:style w:type="paragraph" w:styleId="894" w:customStyle="1">
    <w:name w:val="目录 3111"/>
    <w:basedOn w:val="811"/>
    <w:next w:val="811"/>
    <w:uiPriority w:val="39"/>
    <w:unhideWhenUsed/>
    <w:qFormat/>
    <w:pPr>
      <w:ind w:left="567"/>
      <w:spacing w:after="57"/>
    </w:pPr>
    <w:rPr>
      <w:rFonts w:ascii="Times New Roman" w:hAnsi="Times New Roman" w:eastAsia="宋体"/>
      <w:szCs w:val="21"/>
    </w:rPr>
  </w:style>
  <w:style w:type="paragraph" w:styleId="895" w:customStyle="1">
    <w:name w:val="目录 8111"/>
    <w:basedOn w:val="811"/>
    <w:next w:val="811"/>
    <w:uiPriority w:val="39"/>
    <w:unhideWhenUsed/>
    <w:qFormat/>
    <w:pPr>
      <w:ind w:left="1984"/>
      <w:spacing w:after="57"/>
    </w:pPr>
    <w:rPr>
      <w:rFonts w:ascii="Times New Roman" w:hAnsi="Times New Roman" w:eastAsia="宋体"/>
      <w:szCs w:val="21"/>
    </w:rPr>
  </w:style>
  <w:style w:type="paragraph" w:styleId="896" w:customStyle="1">
    <w:name w:val="目录 1112"/>
    <w:basedOn w:val="811"/>
    <w:next w:val="811"/>
    <w:uiPriority w:val="39"/>
    <w:unhideWhenUsed/>
    <w:qFormat/>
    <w:pPr>
      <w:spacing w:after="57"/>
    </w:pPr>
    <w:rPr>
      <w:rFonts w:ascii="Times New Roman" w:hAnsi="Times New Roman" w:eastAsia="宋体"/>
      <w:szCs w:val="21"/>
    </w:rPr>
  </w:style>
  <w:style w:type="paragraph" w:styleId="897" w:customStyle="1">
    <w:name w:val="目录 4111"/>
    <w:basedOn w:val="811"/>
    <w:next w:val="811"/>
    <w:uiPriority w:val="39"/>
    <w:unhideWhenUsed/>
    <w:qFormat/>
    <w:pPr>
      <w:ind w:left="850"/>
      <w:spacing w:after="57"/>
    </w:pPr>
    <w:rPr>
      <w:rFonts w:ascii="Times New Roman" w:hAnsi="Times New Roman" w:eastAsia="宋体"/>
      <w:szCs w:val="21"/>
    </w:rPr>
  </w:style>
  <w:style w:type="paragraph" w:styleId="898" w:customStyle="1">
    <w:name w:val="目录 6111"/>
    <w:basedOn w:val="811"/>
    <w:next w:val="811"/>
    <w:uiPriority w:val="39"/>
    <w:unhideWhenUsed/>
    <w:qFormat/>
    <w:pPr>
      <w:ind w:left="1417"/>
      <w:spacing w:after="57"/>
    </w:pPr>
    <w:rPr>
      <w:rFonts w:ascii="Times New Roman" w:hAnsi="Times New Roman" w:eastAsia="宋体"/>
      <w:szCs w:val="21"/>
    </w:rPr>
  </w:style>
  <w:style w:type="paragraph" w:styleId="899" w:customStyle="1">
    <w:name w:val="目录 2111"/>
    <w:basedOn w:val="811"/>
    <w:next w:val="811"/>
    <w:uiPriority w:val="39"/>
    <w:unhideWhenUsed/>
    <w:qFormat/>
    <w:pPr>
      <w:ind w:left="283"/>
      <w:spacing w:after="57"/>
    </w:pPr>
    <w:rPr>
      <w:rFonts w:ascii="Times New Roman" w:hAnsi="Times New Roman" w:eastAsia="宋体"/>
      <w:szCs w:val="21"/>
    </w:rPr>
  </w:style>
  <w:style w:type="paragraph" w:styleId="900" w:customStyle="1">
    <w:name w:val="目录 9111"/>
    <w:basedOn w:val="811"/>
    <w:next w:val="811"/>
    <w:uiPriority w:val="39"/>
    <w:unhideWhenUsed/>
    <w:qFormat/>
    <w:pPr>
      <w:ind w:left="2268"/>
      <w:spacing w:after="57"/>
    </w:pPr>
    <w:rPr>
      <w:rFonts w:ascii="Times New Roman" w:hAnsi="Times New Roman" w:eastAsia="宋体"/>
      <w:szCs w:val="21"/>
    </w:rPr>
  </w:style>
  <w:style w:type="paragraph" w:styleId="901" w:customStyle="1">
    <w:name w:val="正文首行缩进11"/>
    <w:basedOn w:val="823"/>
    <w:uiPriority w:val="99"/>
    <w:unhideWhenUsed/>
    <w:qFormat/>
    <w:pPr>
      <w:ind w:firstLine="420"/>
      <w:spacing w:after="120"/>
    </w:pPr>
    <w:rPr>
      <w:rFonts w:ascii="Calibri" w:hAnsi="Calibri" w:eastAsia="宋体"/>
      <w:sz w:val="21"/>
      <w:szCs w:val="22"/>
    </w:rPr>
  </w:style>
  <w:style w:type="paragraph" w:styleId="902" w:customStyle="1">
    <w:name w:val="正文首行缩进 211"/>
    <w:basedOn w:val="831"/>
    <w:next w:val="811"/>
    <w:link w:val="903"/>
    <w:uiPriority w:val="99"/>
    <w:unhideWhenUsed/>
    <w:qFormat/>
    <w:pPr>
      <w:ind w:left="420" w:firstLine="420"/>
      <w:spacing w:after="120"/>
    </w:pPr>
    <w:rPr>
      <w:rFonts w:ascii="Calibri" w:hAnsi="Calibri" w:eastAsia="Arial"/>
      <w:b w:val="0"/>
      <w:sz w:val="21"/>
      <w:szCs w:val="22"/>
    </w:rPr>
  </w:style>
  <w:style w:type="character" w:styleId="903" w:customStyle="1">
    <w:name w:val="正文首行缩进 2 Char1"/>
    <w:basedOn w:val="879"/>
    <w:link w:val="902"/>
    <w:uiPriority w:val="99"/>
    <w:semiHidden/>
    <w:qFormat/>
    <w:rPr>
      <w:rFonts w:ascii="Times New Roman" w:hAnsi="Times New Roman" w:eastAsia="宋体" w:cs="Times New Roman"/>
      <w:b w:val="0"/>
      <w:sz w:val="21"/>
      <w:szCs w:val="22"/>
    </w:rPr>
  </w:style>
  <w:style w:type="character" w:styleId="904" w:customStyle="1">
    <w:name w:val="已访问的超链接11"/>
    <w:uiPriority w:val="99"/>
    <w:unhideWhenUsed/>
    <w:qFormat/>
    <w:rPr>
      <w:color w:val="800080"/>
      <w:u w:val="single"/>
    </w:rPr>
  </w:style>
  <w:style w:type="character" w:styleId="905" w:customStyle="1">
    <w:name w:val="批注引用1"/>
    <w:uiPriority w:val="0"/>
    <w:semiHidden/>
    <w:qFormat/>
    <w:rPr>
      <w:rFonts w:ascii="Calibri" w:hAnsi="Calibri" w:eastAsia="Arial" w:cs="Times New Roman"/>
      <w:sz w:val="21"/>
      <w:szCs w:val="22"/>
    </w:rPr>
  </w:style>
  <w:style w:type="paragraph" w:styleId="906" w:customStyle="1">
    <w:name w:val="段"/>
    <w:next w:val="811"/>
    <w:uiPriority w:val="0"/>
    <w:qFormat/>
    <w:pPr>
      <w:ind w:firstLine="200"/>
      <w:jc w:val="both"/>
    </w:pPr>
    <w:rPr>
      <w:rFonts w:ascii="宋体" w:hAnsi="Times New Roman" w:eastAsia="宋体" w:cs="Times New Roman"/>
      <w:sz w:val="21"/>
      <w:lang w:val="en-US" w:eastAsia="zh-CN" w:bidi="ar-SA"/>
    </w:rPr>
  </w:style>
  <w:style w:type="paragraph" w:styleId="907" w:customStyle="1">
    <w:name w:val="TOC Heading"/>
    <w:uiPriority w:val="39"/>
    <w:unhideWhenUsed/>
    <w:qFormat/>
    <w:rPr>
      <w:rFonts w:ascii="Calibri" w:hAnsi="Calibri" w:eastAsia="Arial" w:cs="Times New Roman"/>
      <w:lang w:val="en-US" w:eastAsia="zh-CN" w:bidi="ar-SA"/>
    </w:rPr>
  </w:style>
  <w:style w:type="paragraph" w:styleId="908" w:customStyle="1">
    <w:name w:val="font5"/>
    <w:basedOn w:val="811"/>
    <w:uiPriority w:val="0"/>
    <w:qFormat/>
    <w:pPr>
      <w:jc w:val="left"/>
      <w:spacing w:before="100" w:beforeAutospacing="1" w:after="100" w:afterAutospacing="1"/>
      <w:widowControl/>
    </w:pPr>
    <w:rPr>
      <w:rFonts w:ascii="宋体" w:hAnsi="宋体" w:eastAsia="宋体"/>
      <w:sz w:val="18"/>
      <w:szCs w:val="18"/>
    </w:rPr>
  </w:style>
  <w:style w:type="paragraph" w:styleId="909" w:customStyle="1">
    <w:name w:val="font6"/>
    <w:basedOn w:val="811"/>
    <w:uiPriority w:val="0"/>
    <w:qFormat/>
    <w:pPr>
      <w:jc w:val="left"/>
      <w:spacing w:before="100" w:beforeAutospacing="1" w:after="100" w:afterAutospacing="1"/>
      <w:widowControl/>
    </w:pPr>
    <w:rPr>
      <w:rFonts w:ascii="宋体" w:hAnsi="宋体" w:eastAsia="宋体"/>
      <w:b/>
      <w:bCs/>
      <w:sz w:val="20"/>
      <w:szCs w:val="20"/>
    </w:rPr>
  </w:style>
  <w:style w:type="paragraph" w:styleId="910" w:customStyle="1">
    <w:name w:val="font7"/>
    <w:basedOn w:val="811"/>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11" w:customStyle="1">
    <w:name w:val="font8"/>
    <w:basedOn w:val="811"/>
    <w:uiPriority w:val="99"/>
    <w:qFormat/>
    <w:pPr>
      <w:jc w:val="left"/>
      <w:spacing w:before="100" w:beforeAutospacing="1" w:after="100" w:afterAutospacing="1"/>
      <w:widowControl/>
    </w:pPr>
    <w:rPr>
      <w:rFonts w:ascii="宋体" w:hAnsi="宋体" w:eastAsia="宋体"/>
      <w:b/>
      <w:bCs/>
      <w:i/>
      <w:iCs/>
      <w:sz w:val="20"/>
      <w:szCs w:val="20"/>
    </w:rPr>
  </w:style>
  <w:style w:type="paragraph" w:styleId="912" w:customStyle="1">
    <w:name w:val="font9"/>
    <w:basedOn w:val="811"/>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13" w:customStyle="1">
    <w:name w:val="xl24"/>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4" w:customStyle="1">
    <w:name w:val="xl25"/>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5" w:customStyle="1">
    <w:name w:val="xl26"/>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6" w:customStyle="1">
    <w:name w:val="xl27"/>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7" w:customStyle="1">
    <w:name w:val="xl28"/>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8" w:customStyle="1">
    <w:name w:val="xl29"/>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9" w:customStyle="1">
    <w:name w:val="xl30"/>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0" w:customStyle="1">
    <w:name w:val="xl31"/>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21" w:customStyle="1">
    <w:name w:val="xl32"/>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2" w:customStyle="1">
    <w:name w:val="xl33"/>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3" w:customStyle="1">
    <w:name w:val="xl34"/>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4" w:customStyle="1">
    <w:name w:val="xl35"/>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25" w:customStyle="1">
    <w:name w:val="xl36"/>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6" w:customStyle="1">
    <w:name w:val="xl37"/>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27" w:customStyle="1">
    <w:name w:val="xl38"/>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8" w:customStyle="1">
    <w:name w:val="xl39"/>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29" w:customStyle="1">
    <w:name w:val="xl40"/>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0" w:customStyle="1">
    <w:name w:val="xl41"/>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1" w:customStyle="1">
    <w:name w:val="xl42"/>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2" w:customStyle="1">
    <w:name w:val="xl43"/>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33" w:customStyle="1">
    <w:name w:val="xl44"/>
    <w:basedOn w:val="81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34" w:customStyle="1">
    <w:name w:val="xl45"/>
    <w:basedOn w:val="811"/>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35" w:customStyle="1">
    <w:name w:val="xl46"/>
    <w:basedOn w:val="811"/>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36" w:customStyle="1">
    <w:name w:val="xl47"/>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37" w:customStyle="1">
    <w:name w:val="xl48"/>
    <w:basedOn w:val="81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38" w:customStyle="1">
    <w:name w:val="xl49"/>
    <w:basedOn w:val="811"/>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39" w:customStyle="1">
    <w:name w:val="xl50"/>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0" w:customStyle="1">
    <w:name w:val="xl51"/>
    <w:basedOn w:val="81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41" w:customStyle="1">
    <w:name w:val="xl52"/>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42" w:customStyle="1">
    <w:name w:val="xl53"/>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3" w:customStyle="1">
    <w:name w:val="xl54"/>
    <w:basedOn w:val="81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44" w:customStyle="1">
    <w:name w:val="xl55"/>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45" w:customStyle="1">
    <w:name w:val="xl56"/>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6" w:customStyle="1">
    <w:name w:val="xl57"/>
    <w:basedOn w:val="81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47" w:customStyle="1">
    <w:name w:val="xl58"/>
    <w:basedOn w:val="811"/>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48" w:customStyle="1">
    <w:name w:val="xl59"/>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9" w:customStyle="1">
    <w:name w:val="xl60"/>
    <w:basedOn w:val="81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0" w:customStyle="1">
    <w:name w:val="xl61"/>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1" w:customStyle="1">
    <w:name w:val="xl62"/>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2" w:customStyle="1">
    <w:name w:val="xl63"/>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53" w:customStyle="1">
    <w:name w:val="font10"/>
    <w:basedOn w:val="811"/>
    <w:uiPriority w:val="99"/>
    <w:qFormat/>
    <w:pPr>
      <w:jc w:val="left"/>
      <w:spacing w:before="100" w:beforeAutospacing="1" w:after="100" w:afterAutospacing="1"/>
      <w:widowControl/>
    </w:pPr>
    <w:rPr>
      <w:rFonts w:ascii="楷体_GB2312" w:hAnsi="宋体" w:eastAsia="楷体_GB2312"/>
      <w:b/>
      <w:bCs/>
      <w:sz w:val="18"/>
      <w:szCs w:val="18"/>
    </w:rPr>
  </w:style>
  <w:style w:type="paragraph" w:styleId="954" w:customStyle="1">
    <w:name w:val="font11"/>
    <w:basedOn w:val="811"/>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55" w:customStyle="1">
    <w:name w:val="font12"/>
    <w:basedOn w:val="811"/>
    <w:uiPriority w:val="99"/>
    <w:qFormat/>
    <w:pPr>
      <w:jc w:val="left"/>
      <w:spacing w:before="100" w:beforeAutospacing="1" w:after="100" w:afterAutospacing="1"/>
      <w:widowControl/>
    </w:pPr>
    <w:rPr>
      <w:rFonts w:ascii="宋体" w:hAnsi="宋体" w:eastAsia="宋体"/>
      <w:sz w:val="36"/>
      <w:szCs w:val="36"/>
    </w:rPr>
  </w:style>
  <w:style w:type="paragraph" w:styleId="956" w:customStyle="1">
    <w:name w:val="font13"/>
    <w:basedOn w:val="811"/>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57" w:customStyle="1">
    <w:name w:val="font14"/>
    <w:basedOn w:val="811"/>
    <w:uiPriority w:val="99"/>
    <w:qFormat/>
    <w:pPr>
      <w:jc w:val="left"/>
      <w:spacing w:before="100" w:beforeAutospacing="1" w:after="100" w:afterAutospacing="1"/>
      <w:widowControl/>
    </w:pPr>
    <w:rPr>
      <w:rFonts w:ascii="Times New Roman" w:hAnsi="Times New Roman" w:eastAsia="宋体"/>
      <w:sz w:val="36"/>
      <w:szCs w:val="36"/>
    </w:rPr>
  </w:style>
  <w:style w:type="character" w:styleId="958" w:customStyle="1">
    <w:name w:val="case31"/>
    <w:uiPriority w:val="99"/>
    <w:qFormat/>
    <w:rPr>
      <w:rFonts w:cs="Times New Roman"/>
      <w:spacing w:val="390"/>
      <w:sz w:val="21"/>
      <w:szCs w:val="21"/>
    </w:rPr>
  </w:style>
  <w:style w:type="paragraph" w:styleId="959" w:customStyle="1">
    <w:name w:val="普通文字"/>
    <w:basedOn w:val="811"/>
    <w:next w:val="811"/>
    <w:uiPriority w:val="99"/>
    <w:qFormat/>
    <w:rPr>
      <w:rFonts w:ascii="宋体" w:hAnsi="Times New Roman" w:eastAsia="宋体"/>
      <w:sz w:val="24"/>
      <w:szCs w:val="20"/>
    </w:rPr>
  </w:style>
  <w:style w:type="paragraph" w:styleId="960" w:customStyle="1">
    <w:name w:val="默认段落字体 Para Char"/>
    <w:basedOn w:val="811"/>
    <w:uiPriority w:val="99"/>
    <w:qFormat/>
    <w:pPr>
      <w:ind w:left="552" w:hanging="420"/>
      <w:tabs>
        <w:tab w:val="left" w:pos="552" w:leader="none"/>
      </w:tabs>
    </w:pPr>
    <w:rPr>
      <w:rFonts w:ascii="Times New Roman" w:hAnsi="Times New Roman" w:eastAsia="宋体"/>
      <w:sz w:val="24"/>
      <w:szCs w:val="24"/>
    </w:rPr>
  </w:style>
  <w:style w:type="paragraph" w:styleId="961" w:customStyle="1">
    <w:name w:val="Char Char Char Char"/>
    <w:basedOn w:val="829"/>
    <w:uiPriority w:val="0"/>
    <w:qFormat/>
    <w:pPr>
      <w:spacing w:line="360" w:lineRule="auto"/>
    </w:pPr>
    <w:rPr>
      <w:rFonts w:ascii="Tahoma" w:hAnsi="Tahoma"/>
      <w:sz w:val="24"/>
      <w:szCs w:val="24"/>
    </w:rPr>
  </w:style>
  <w:style w:type="paragraph" w:styleId="962" w:customStyle="1">
    <w:name w:val="Char Char1 Char Char Char Char"/>
    <w:basedOn w:val="829"/>
    <w:uiPriority w:val="99"/>
    <w:qFormat/>
    <w:pPr>
      <w:ind w:left="357"/>
      <w:jc w:val="left"/>
      <w:spacing w:line="436" w:lineRule="exact"/>
      <w:outlineLvl w:val="3"/>
    </w:pPr>
    <w:rPr>
      <w:rFonts w:ascii="Tahoma" w:hAnsi="Tahoma"/>
      <w:b/>
      <w:sz w:val="24"/>
      <w:szCs w:val="24"/>
    </w:rPr>
  </w:style>
  <w:style w:type="paragraph" w:styleId="963">
    <w:name w:val="List Paragraph"/>
    <w:basedOn w:val="811"/>
    <w:uiPriority w:val="34"/>
    <w:qFormat/>
    <w:pPr>
      <w:numPr>
        <w:ilvl w:val="0"/>
        <w:numId w:val="2"/>
      </w:numPr>
      <w:spacing w:line="360" w:lineRule="auto"/>
    </w:pPr>
    <w:rPr>
      <w:rFonts w:ascii="Arial" w:hAnsi="Arial" w:eastAsia="宋体" w:cs="宋体"/>
      <w:b/>
      <w:sz w:val="24"/>
      <w:szCs w:val="20"/>
    </w:rPr>
  </w:style>
  <w:style w:type="paragraph" w:styleId="964" w:customStyle="1">
    <w:name w:val="修订1"/>
    <w:uiPriority w:val="99"/>
    <w:semiHidden/>
    <w:qFormat/>
    <w:rPr>
      <w:rFonts w:ascii="Times New Roman" w:hAnsi="Times New Roman" w:eastAsia="宋体" w:cs="Times New Roman"/>
      <w:sz w:val="21"/>
      <w:lang w:val="en-US" w:eastAsia="zh-CN" w:bidi="ar-SA"/>
    </w:rPr>
  </w:style>
  <w:style w:type="paragraph" w:styleId="965" w:customStyle="1">
    <w:name w:val="列表段落1"/>
    <w:basedOn w:val="811"/>
    <w:uiPriority w:val="34"/>
    <w:qFormat/>
    <w:pPr>
      <w:ind w:firstLine="420"/>
    </w:pPr>
  </w:style>
  <w:style w:type="paragraph" w:styleId="966" w:customStyle="1">
    <w:name w:val="样式 小四 段前: 5 磅 段后: 5 磅 首行缩进:  2 字符"/>
    <w:basedOn w:val="811"/>
    <w:uiPriority w:val="0"/>
    <w:qFormat/>
    <w:pPr>
      <w:spacing w:line="360" w:lineRule="auto"/>
    </w:pPr>
    <w:rPr>
      <w:rFonts w:ascii="宋体" w:hAnsi="宋体"/>
      <w:szCs w:val="21"/>
    </w:rPr>
  </w:style>
  <w:style w:type="table" w:styleId="967" w:customStyle="1">
    <w:name w:val="网格型1"/>
    <w:basedOn w:val="822"/>
    <w:uiPriority w:val="59"/>
    <w:qFormat/>
    <w:tblPr/>
  </w:style>
  <w:style w:type="table" w:styleId="968" w:customStyle="1">
    <w:name w:val="网格型2"/>
    <w:basedOn w:val="822"/>
    <w:uiPriority w:val="39"/>
    <w:qFormat/>
    <w:tblPr/>
  </w:style>
  <w:style w:type="table" w:styleId="969" w:customStyle="1">
    <w:name w:val="网格型3"/>
    <w:basedOn w:val="822"/>
    <w:uiPriority w:val="39"/>
    <w:qFormat/>
    <w:tblPr/>
  </w:style>
  <w:style w:type="table" w:styleId="970" w:customStyle="1">
    <w:name w:val="网格型4"/>
    <w:basedOn w:val="822"/>
    <w:uiPriority w:val="39"/>
    <w:qFormat/>
    <w:tblPr/>
  </w:style>
  <w:style w:type="paragraph" w:styleId="971" w:customStyle="1">
    <w:name w:val="List Paragraph1"/>
    <w:basedOn w:val="811"/>
    <w:uiPriority w:val="0"/>
    <w:qFormat/>
    <w:pPr>
      <w:ind w:firstLine="420"/>
    </w:pPr>
    <w:rPr>
      <w:szCs w:val="21"/>
    </w:rPr>
  </w:style>
  <w:style w:type="paragraph" w:styleId="972" w:customStyle="1">
    <w:name w:val="标题 31"/>
    <w:basedOn w:val="811"/>
    <w:next w:val="811"/>
    <w:link w:val="973"/>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73" w:customStyle="1">
    <w:name w:val="标题 3 Char"/>
    <w:link w:val="972"/>
    <w:uiPriority w:val="0"/>
    <w:qFormat/>
    <w:rPr>
      <w:rFonts w:ascii="Times New Roman" w:hAnsi="Times New Roman" w:eastAsia="宋体" w:cs="Times New Roman"/>
      <w:b/>
      <w:bCs/>
      <w:sz w:val="32"/>
      <w:szCs w:val="32"/>
      <w:lang w:eastAsia="en-US"/>
    </w:rPr>
  </w:style>
  <w:style w:type="character" w:styleId="974" w:customStyle="1">
    <w:name w:val="Heading 1 Char"/>
    <w:uiPriority w:val="9"/>
    <w:qFormat/>
    <w:rPr>
      <w:rFonts w:ascii="Arial" w:hAnsi="Arial" w:eastAsia="Arial" w:cs="Arial"/>
      <w:sz w:val="40"/>
      <w:szCs w:val="40"/>
    </w:rPr>
  </w:style>
  <w:style w:type="character" w:styleId="975" w:customStyle="1">
    <w:name w:val="Heading 2 Char"/>
    <w:uiPriority w:val="9"/>
    <w:qFormat/>
    <w:rPr>
      <w:rFonts w:ascii="Arial" w:hAnsi="Arial" w:eastAsia="Arial" w:cs="Arial"/>
      <w:sz w:val="34"/>
    </w:rPr>
  </w:style>
  <w:style w:type="character" w:styleId="976" w:customStyle="1">
    <w:name w:val="Heading 3 Char"/>
    <w:uiPriority w:val="9"/>
    <w:qFormat/>
    <w:rPr>
      <w:rFonts w:ascii="Arial" w:hAnsi="Arial" w:eastAsia="Arial" w:cs="Arial"/>
      <w:sz w:val="30"/>
      <w:szCs w:val="30"/>
    </w:rPr>
  </w:style>
  <w:style w:type="character" w:styleId="977" w:customStyle="1">
    <w:name w:val="Heading 4 Char"/>
    <w:uiPriority w:val="9"/>
    <w:qFormat/>
    <w:rPr>
      <w:rFonts w:ascii="Arial" w:hAnsi="Arial" w:eastAsia="Arial" w:cs="Arial"/>
      <w:b/>
      <w:bCs/>
      <w:sz w:val="26"/>
      <w:szCs w:val="26"/>
    </w:rPr>
  </w:style>
  <w:style w:type="character" w:styleId="978" w:customStyle="1">
    <w:name w:val="Heading 5 Char"/>
    <w:uiPriority w:val="9"/>
    <w:qFormat/>
    <w:rPr>
      <w:rFonts w:ascii="Arial" w:hAnsi="Arial" w:eastAsia="Arial" w:cs="Arial"/>
      <w:b/>
      <w:bCs/>
      <w:sz w:val="24"/>
      <w:szCs w:val="24"/>
    </w:rPr>
  </w:style>
  <w:style w:type="character" w:styleId="979" w:customStyle="1">
    <w:name w:val="Heading 6 Char"/>
    <w:uiPriority w:val="9"/>
    <w:qFormat/>
    <w:rPr>
      <w:rFonts w:ascii="Arial" w:hAnsi="Arial" w:eastAsia="Arial" w:cs="Arial"/>
      <w:b/>
      <w:bCs/>
      <w:sz w:val="22"/>
      <w:szCs w:val="22"/>
    </w:rPr>
  </w:style>
  <w:style w:type="character" w:styleId="980" w:customStyle="1">
    <w:name w:val="Heading 7 Char"/>
    <w:uiPriority w:val="9"/>
    <w:qFormat/>
    <w:rPr>
      <w:rFonts w:ascii="Arial" w:hAnsi="Arial" w:eastAsia="Arial" w:cs="Arial"/>
      <w:b/>
      <w:bCs/>
      <w:i/>
      <w:iCs/>
      <w:sz w:val="22"/>
      <w:szCs w:val="22"/>
    </w:rPr>
  </w:style>
  <w:style w:type="character" w:styleId="981" w:customStyle="1">
    <w:name w:val="Heading 8 Char"/>
    <w:uiPriority w:val="9"/>
    <w:qFormat/>
    <w:rPr>
      <w:rFonts w:ascii="Arial" w:hAnsi="Arial" w:eastAsia="Arial" w:cs="Arial"/>
      <w:i/>
      <w:iCs/>
      <w:sz w:val="22"/>
      <w:szCs w:val="22"/>
    </w:rPr>
  </w:style>
  <w:style w:type="character" w:styleId="982" w:customStyle="1">
    <w:name w:val="Heading 9 Char"/>
    <w:uiPriority w:val="9"/>
    <w:qFormat/>
    <w:rPr>
      <w:rFonts w:ascii="Arial" w:hAnsi="Arial" w:eastAsia="Arial" w:cs="Arial"/>
      <w:i/>
      <w:iCs/>
      <w:sz w:val="21"/>
      <w:szCs w:val="21"/>
    </w:rPr>
  </w:style>
  <w:style w:type="paragraph" w:styleId="983">
    <w:name w:val="No Spacing"/>
    <w:uiPriority w:val="1"/>
    <w:qFormat/>
    <w:rPr>
      <w:rFonts w:ascii="Calibri" w:hAnsi="Calibri" w:eastAsia="宋体" w:cs="Times New Roman"/>
      <w:lang w:val="en-US" w:eastAsia="zh-CN" w:bidi="ar-SA"/>
    </w:rPr>
  </w:style>
  <w:style w:type="character" w:styleId="984" w:customStyle="1">
    <w:name w:val="Title Char"/>
    <w:uiPriority w:val="10"/>
    <w:qFormat/>
    <w:rPr>
      <w:sz w:val="48"/>
      <w:szCs w:val="48"/>
    </w:rPr>
  </w:style>
  <w:style w:type="character" w:styleId="985" w:customStyle="1">
    <w:name w:val="Subtitle Char"/>
    <w:uiPriority w:val="11"/>
    <w:qFormat/>
    <w:rPr>
      <w:sz w:val="24"/>
      <w:szCs w:val="24"/>
    </w:rPr>
  </w:style>
  <w:style w:type="paragraph" w:styleId="986">
    <w:name w:val="Quote"/>
    <w:basedOn w:val="811"/>
    <w:next w:val="811"/>
    <w:link w:val="987"/>
    <w:uiPriority w:val="29"/>
    <w:qFormat/>
    <w:pPr>
      <w:ind w:left="720" w:right="720"/>
    </w:pPr>
    <w:rPr>
      <w:rFonts w:ascii="Times New Roman" w:hAnsi="Times New Roman" w:eastAsia="宋体"/>
      <w:i/>
      <w:szCs w:val="21"/>
    </w:rPr>
  </w:style>
  <w:style w:type="character" w:styleId="987" w:customStyle="1">
    <w:name w:val="引用 字符"/>
    <w:basedOn w:val="821"/>
    <w:link w:val="986"/>
    <w:uiPriority w:val="29"/>
    <w:qFormat/>
    <w:rPr>
      <w:rFonts w:ascii="Times New Roman" w:hAnsi="Times New Roman" w:eastAsia="宋体" w:cs="Times New Roman"/>
      <w:i/>
      <w:sz w:val="21"/>
      <w:szCs w:val="21"/>
    </w:rPr>
  </w:style>
  <w:style w:type="character" w:styleId="988" w:customStyle="1">
    <w:name w:val="Quote Char"/>
    <w:uiPriority w:val="29"/>
    <w:qFormat/>
    <w:rPr>
      <w:i/>
    </w:rPr>
  </w:style>
  <w:style w:type="paragraph" w:styleId="989">
    <w:name w:val="Intense Quote"/>
    <w:basedOn w:val="811"/>
    <w:next w:val="811"/>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90" w:customStyle="1">
    <w:name w:val="明显引用 字符"/>
    <w:basedOn w:val="821"/>
    <w:link w:val="989"/>
    <w:uiPriority w:val="30"/>
    <w:qFormat/>
    <w:rPr>
      <w:rFonts w:ascii="Times New Roman" w:hAnsi="Times New Roman" w:eastAsia="宋体" w:cs="Times New Roman"/>
      <w:i/>
      <w:sz w:val="21"/>
      <w:szCs w:val="21"/>
      <w:shd w:val="clear" w:color="auto" w:fill="f2f2f2"/>
    </w:rPr>
  </w:style>
  <w:style w:type="character" w:styleId="991" w:customStyle="1">
    <w:name w:val="Intense Quote Char"/>
    <w:uiPriority w:val="30"/>
    <w:qFormat/>
    <w:rPr>
      <w:i/>
    </w:rPr>
  </w:style>
  <w:style w:type="character" w:styleId="992" w:customStyle="1">
    <w:name w:val="Header Char"/>
    <w:uiPriority w:val="99"/>
    <w:qFormat/>
  </w:style>
  <w:style w:type="character" w:styleId="993" w:customStyle="1">
    <w:name w:val="Footer Char"/>
    <w:uiPriority w:val="99"/>
    <w:qFormat/>
  </w:style>
  <w:style w:type="character" w:styleId="994" w:customStyle="1">
    <w:name w:val="Caption Char"/>
    <w:uiPriority w:val="99"/>
    <w:qFormat/>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目录 71"/>
    <w:basedOn w:val="811"/>
    <w:next w:val="811"/>
    <w:uiPriority w:val="39"/>
    <w:unhideWhenUsed/>
    <w:qFormat/>
    <w:pPr>
      <w:ind w:left="1701"/>
      <w:spacing w:after="57"/>
    </w:pPr>
    <w:rPr>
      <w:rFonts w:ascii="Times New Roman" w:hAnsi="Times New Roman" w:eastAsia="宋体"/>
      <w:szCs w:val="21"/>
    </w:rPr>
  </w:style>
  <w:style w:type="paragraph" w:styleId="998" w:customStyle="1">
    <w:name w:val="目录 51"/>
    <w:basedOn w:val="811"/>
    <w:next w:val="811"/>
    <w:uiPriority w:val="39"/>
    <w:unhideWhenUsed/>
    <w:qFormat/>
    <w:pPr>
      <w:ind w:left="1134"/>
      <w:spacing w:after="57"/>
    </w:pPr>
    <w:rPr>
      <w:rFonts w:ascii="Times New Roman" w:hAnsi="Times New Roman" w:eastAsia="宋体"/>
      <w:szCs w:val="21"/>
    </w:rPr>
  </w:style>
  <w:style w:type="paragraph" w:styleId="999" w:customStyle="1">
    <w:name w:val="目录 31"/>
    <w:basedOn w:val="811"/>
    <w:next w:val="811"/>
    <w:uiPriority w:val="39"/>
    <w:unhideWhenUsed/>
    <w:qFormat/>
    <w:pPr>
      <w:ind w:left="567"/>
      <w:spacing w:after="57"/>
    </w:pPr>
    <w:rPr>
      <w:rFonts w:ascii="Times New Roman" w:hAnsi="Times New Roman" w:eastAsia="宋体"/>
      <w:szCs w:val="21"/>
    </w:rPr>
  </w:style>
  <w:style w:type="paragraph" w:styleId="1000" w:customStyle="1">
    <w:name w:val="目录 81"/>
    <w:basedOn w:val="811"/>
    <w:next w:val="811"/>
    <w:uiPriority w:val="39"/>
    <w:unhideWhenUsed/>
    <w:qFormat/>
    <w:pPr>
      <w:ind w:left="1984"/>
      <w:spacing w:after="57"/>
    </w:pPr>
    <w:rPr>
      <w:rFonts w:ascii="Times New Roman" w:hAnsi="Times New Roman" w:eastAsia="宋体"/>
      <w:szCs w:val="21"/>
    </w:rPr>
  </w:style>
  <w:style w:type="character" w:styleId="1001" w:customStyle="1">
    <w:name w:val="页脚 字符1"/>
    <w:uiPriority w:val="99"/>
    <w:qFormat/>
  </w:style>
  <w:style w:type="paragraph" w:styleId="1002" w:customStyle="1">
    <w:name w:val="目录 11"/>
    <w:basedOn w:val="811"/>
    <w:next w:val="811"/>
    <w:uiPriority w:val="39"/>
    <w:unhideWhenUsed/>
    <w:qFormat/>
    <w:pPr>
      <w:spacing w:after="57"/>
    </w:pPr>
    <w:rPr>
      <w:rFonts w:ascii="Times New Roman" w:hAnsi="Times New Roman" w:eastAsia="宋体"/>
      <w:szCs w:val="21"/>
    </w:rPr>
  </w:style>
  <w:style w:type="paragraph" w:styleId="1003" w:customStyle="1">
    <w:name w:val="目录 41"/>
    <w:basedOn w:val="811"/>
    <w:next w:val="811"/>
    <w:uiPriority w:val="39"/>
    <w:unhideWhenUsed/>
    <w:qFormat/>
    <w:pPr>
      <w:ind w:left="850"/>
      <w:spacing w:after="57"/>
    </w:pPr>
    <w:rPr>
      <w:rFonts w:ascii="Times New Roman" w:hAnsi="Times New Roman" w:eastAsia="宋体"/>
      <w:szCs w:val="21"/>
    </w:rPr>
  </w:style>
  <w:style w:type="paragraph" w:styleId="1004" w:customStyle="1">
    <w:name w:val="目录 61"/>
    <w:basedOn w:val="811"/>
    <w:next w:val="811"/>
    <w:uiPriority w:val="39"/>
    <w:unhideWhenUsed/>
    <w:qFormat/>
    <w:pPr>
      <w:ind w:left="1417"/>
      <w:spacing w:after="57"/>
    </w:pPr>
    <w:rPr>
      <w:rFonts w:ascii="Times New Roman" w:hAnsi="Times New Roman" w:eastAsia="宋体"/>
      <w:szCs w:val="21"/>
    </w:rPr>
  </w:style>
  <w:style w:type="paragraph" w:styleId="1005" w:customStyle="1">
    <w:name w:val="目录 21"/>
    <w:basedOn w:val="811"/>
    <w:next w:val="811"/>
    <w:uiPriority w:val="39"/>
    <w:unhideWhenUsed/>
    <w:qFormat/>
    <w:pPr>
      <w:ind w:left="283"/>
      <w:spacing w:after="57"/>
    </w:pPr>
    <w:rPr>
      <w:rFonts w:ascii="Times New Roman" w:hAnsi="Times New Roman" w:eastAsia="宋体"/>
      <w:szCs w:val="21"/>
    </w:rPr>
  </w:style>
  <w:style w:type="paragraph" w:styleId="1006" w:customStyle="1">
    <w:name w:val="目录 91"/>
    <w:basedOn w:val="811"/>
    <w:next w:val="811"/>
    <w:uiPriority w:val="39"/>
    <w:unhideWhenUsed/>
    <w:qFormat/>
    <w:pPr>
      <w:ind w:left="2268"/>
      <w:spacing w:after="57"/>
    </w:pPr>
    <w:rPr>
      <w:rFonts w:ascii="Times New Roman" w:hAnsi="Times New Roman" w:eastAsia="宋体"/>
      <w:szCs w:val="21"/>
    </w:rPr>
  </w:style>
  <w:style w:type="character" w:styleId="1007" w:customStyle="1">
    <w:name w:val="font5 Char"/>
    <w:uiPriority w:val="0"/>
    <w:qFormat/>
    <w:rPr>
      <w:rFonts w:ascii="宋体" w:hAnsi="宋体" w:eastAsia="宋体"/>
      <w:sz w:val="28"/>
      <w:szCs w:val="28"/>
      <w:lang w:val="en-US" w:eastAsia="zh-CN" w:bidi="ar-SA"/>
    </w:rPr>
  </w:style>
  <w:style w:type="paragraph" w:styleId="1008" w:customStyle="1">
    <w:name w:val="列出段落2"/>
    <w:basedOn w:val="811"/>
    <w:uiPriority w:val="34"/>
    <w:qFormat/>
    <w:pPr>
      <w:contextualSpacing/>
      <w:ind w:left="720"/>
    </w:pPr>
    <w:rPr>
      <w:rFonts w:ascii="Times New Roman" w:hAnsi="Times New Roman" w:eastAsia="宋体"/>
      <w:szCs w:val="21"/>
    </w:rPr>
  </w:style>
  <w:style w:type="table" w:styleId="1009" w:customStyle="1">
    <w:name w:val="Table Grid Light"/>
    <w:uiPriority w:val="59"/>
    <w:qFormat/>
    <w:rPr>
      <w:rFonts w:ascii="Calibri" w:hAnsi="Calibri"/>
    </w:rPr>
    <w:tblPr>
      <w:tblCellMar>
        <w:left w:w="0" w:type="dxa"/>
        <w:top w:w="0" w:type="dxa"/>
        <w:right w:w="0" w:type="dxa"/>
        <w:bottom w:w="0" w:type="dxa"/>
      </w:tblCellMar>
    </w:tblPr>
  </w:style>
  <w:style w:type="table" w:styleId="1010" w:customStyle="1">
    <w:name w:val="Plain Table 1"/>
    <w:uiPriority w:val="59"/>
    <w:qFormat/>
    <w:rPr>
      <w:rFonts w:ascii="Calibri" w:hAnsi="Calibri"/>
    </w:rPr>
    <w:tblPr>
      <w:tblCellMar>
        <w:left w:w="0" w:type="dxa"/>
        <w:top w:w="0" w:type="dxa"/>
        <w:right w:w="0" w:type="dxa"/>
        <w:bottom w:w="0" w:type="dxa"/>
      </w:tblCellMar>
    </w:tblPr>
  </w:style>
  <w:style w:type="table" w:styleId="1011" w:customStyle="1">
    <w:name w:val="Plain Table 2"/>
    <w:uiPriority w:val="59"/>
    <w:qFormat/>
    <w:rPr>
      <w:rFonts w:ascii="Calibri" w:hAnsi="Calibri"/>
    </w:rPr>
    <w:tblPr>
      <w:tblCellMar>
        <w:left w:w="0" w:type="dxa"/>
        <w:top w:w="0" w:type="dxa"/>
        <w:right w:w="0" w:type="dxa"/>
        <w:bottom w:w="0" w:type="dxa"/>
      </w:tblCellMar>
    </w:tblPr>
  </w:style>
  <w:style w:type="table" w:styleId="1012" w:customStyle="1">
    <w:name w:val="Plain Table 3"/>
    <w:uiPriority w:val="99"/>
    <w:qFormat/>
    <w:rPr>
      <w:rFonts w:ascii="Calibri" w:hAnsi="Calibri"/>
    </w:rPr>
    <w:tblPr>
      <w:tblCellMar>
        <w:left w:w="0" w:type="dxa"/>
        <w:top w:w="0" w:type="dxa"/>
        <w:right w:w="0" w:type="dxa"/>
        <w:bottom w:w="0" w:type="dxa"/>
      </w:tblCellMar>
    </w:tblPr>
  </w:style>
  <w:style w:type="table" w:styleId="1013" w:customStyle="1">
    <w:name w:val="Plain Table 4"/>
    <w:uiPriority w:val="99"/>
    <w:qFormat/>
    <w:rPr>
      <w:rFonts w:ascii="Calibri" w:hAnsi="Calibri"/>
    </w:rPr>
    <w:tblPr>
      <w:tblCellMar>
        <w:left w:w="0" w:type="dxa"/>
        <w:top w:w="0" w:type="dxa"/>
        <w:right w:w="0" w:type="dxa"/>
        <w:bottom w:w="0" w:type="dxa"/>
      </w:tblCellMar>
    </w:tblPr>
  </w:style>
  <w:style w:type="table" w:styleId="1014" w:customStyle="1">
    <w:name w:val="Plain Table 5"/>
    <w:uiPriority w:val="99"/>
    <w:qFormat/>
    <w:rPr>
      <w:rFonts w:ascii="Calibri" w:hAnsi="Calibri"/>
    </w:rPr>
    <w:tblPr>
      <w:tblCellMar>
        <w:left w:w="0" w:type="dxa"/>
        <w:top w:w="0" w:type="dxa"/>
        <w:right w:w="0" w:type="dxa"/>
        <w:bottom w:w="0" w:type="dxa"/>
      </w:tblCellMar>
    </w:tblPr>
  </w:style>
  <w:style w:type="table" w:styleId="1015" w:customStyle="1">
    <w:name w:val="Grid Table 1 Light"/>
    <w:uiPriority w:val="99"/>
    <w:qFormat/>
    <w:rPr>
      <w:rFonts w:ascii="Calibri" w:hAnsi="Calibri"/>
    </w:rPr>
    <w:tblPr>
      <w:tblCellMar>
        <w:left w:w="0" w:type="dxa"/>
        <w:top w:w="0" w:type="dxa"/>
        <w:right w:w="0" w:type="dxa"/>
        <w:bottom w:w="0" w:type="dxa"/>
      </w:tblCellMar>
    </w:tblPr>
  </w:style>
  <w:style w:type="table" w:styleId="1016" w:customStyle="1">
    <w:name w:val="Grid Table 1 Light - Accent 1"/>
    <w:uiPriority w:val="99"/>
    <w:qFormat/>
    <w:rPr>
      <w:rFonts w:ascii="Calibri" w:hAnsi="Calibri"/>
    </w:rPr>
    <w:tblPr>
      <w:tblCellMar>
        <w:left w:w="0" w:type="dxa"/>
        <w:top w:w="0" w:type="dxa"/>
        <w:right w:w="0" w:type="dxa"/>
        <w:bottom w:w="0" w:type="dxa"/>
      </w:tblCellMar>
    </w:tblPr>
  </w:style>
  <w:style w:type="table" w:styleId="1017" w:customStyle="1">
    <w:name w:val="Grid Table 1 Light - Accent 2"/>
    <w:uiPriority w:val="99"/>
    <w:qFormat/>
    <w:rPr>
      <w:rFonts w:ascii="Calibri" w:hAnsi="Calibri"/>
    </w:rPr>
    <w:tblPr>
      <w:tblCellMar>
        <w:left w:w="0" w:type="dxa"/>
        <w:top w:w="0" w:type="dxa"/>
        <w:right w:w="0" w:type="dxa"/>
        <w:bottom w:w="0" w:type="dxa"/>
      </w:tblCellMar>
    </w:tblPr>
  </w:style>
  <w:style w:type="table" w:styleId="1018" w:customStyle="1">
    <w:name w:val="Grid Table 1 Light - Accent 3"/>
    <w:uiPriority w:val="99"/>
    <w:qFormat/>
    <w:rPr>
      <w:rFonts w:ascii="Calibri" w:hAnsi="Calibri"/>
    </w:rPr>
    <w:tblPr>
      <w:tblCellMar>
        <w:left w:w="0" w:type="dxa"/>
        <w:top w:w="0" w:type="dxa"/>
        <w:right w:w="0" w:type="dxa"/>
        <w:bottom w:w="0" w:type="dxa"/>
      </w:tblCellMar>
    </w:tblPr>
  </w:style>
  <w:style w:type="table" w:styleId="1019" w:customStyle="1">
    <w:name w:val="Grid Table 1 Light - Accent 4"/>
    <w:uiPriority w:val="99"/>
    <w:qFormat/>
    <w:rPr>
      <w:rFonts w:ascii="Calibri" w:hAnsi="Calibri"/>
    </w:rPr>
    <w:tblPr>
      <w:tblCellMar>
        <w:left w:w="0" w:type="dxa"/>
        <w:top w:w="0" w:type="dxa"/>
        <w:right w:w="0" w:type="dxa"/>
        <w:bottom w:w="0" w:type="dxa"/>
      </w:tblCellMar>
    </w:tblPr>
  </w:style>
  <w:style w:type="table" w:styleId="1020" w:customStyle="1">
    <w:name w:val="Grid Table 1 Light - Accent 5"/>
    <w:uiPriority w:val="99"/>
    <w:qFormat/>
    <w:rPr>
      <w:rFonts w:ascii="Calibri" w:hAnsi="Calibri"/>
    </w:rPr>
    <w:tblPr>
      <w:tblCellMar>
        <w:left w:w="0" w:type="dxa"/>
        <w:top w:w="0" w:type="dxa"/>
        <w:right w:w="0" w:type="dxa"/>
        <w:bottom w:w="0" w:type="dxa"/>
      </w:tblCellMar>
    </w:tblPr>
  </w:style>
  <w:style w:type="table" w:styleId="1021" w:customStyle="1">
    <w:name w:val="Grid Table 1 Light - Accent 6"/>
    <w:uiPriority w:val="99"/>
    <w:qFormat/>
    <w:rPr>
      <w:rFonts w:ascii="Calibri" w:hAnsi="Calibri"/>
    </w:rPr>
    <w:tblPr>
      <w:tblCellMar>
        <w:left w:w="0" w:type="dxa"/>
        <w:top w:w="0" w:type="dxa"/>
        <w:right w:w="0" w:type="dxa"/>
        <w:bottom w:w="0" w:type="dxa"/>
      </w:tblCellMar>
    </w:tblPr>
  </w:style>
  <w:style w:type="table" w:styleId="1022" w:customStyle="1">
    <w:name w:val="Grid Table 2"/>
    <w:uiPriority w:val="99"/>
    <w:qFormat/>
    <w:rPr>
      <w:rFonts w:ascii="Calibri" w:hAnsi="Calibri"/>
    </w:rPr>
    <w:tblPr>
      <w:tblCellMar>
        <w:left w:w="0" w:type="dxa"/>
        <w:top w:w="0" w:type="dxa"/>
        <w:right w:w="0" w:type="dxa"/>
        <w:bottom w:w="0" w:type="dxa"/>
      </w:tblCellMar>
    </w:tblPr>
  </w:style>
  <w:style w:type="table" w:styleId="1023" w:customStyle="1">
    <w:name w:val="Grid Table 2 - Accent 1"/>
    <w:uiPriority w:val="99"/>
    <w:qFormat/>
    <w:rPr>
      <w:rFonts w:ascii="Calibri" w:hAnsi="Calibri"/>
    </w:rPr>
    <w:tblPr>
      <w:tblCellMar>
        <w:left w:w="0" w:type="dxa"/>
        <w:top w:w="0" w:type="dxa"/>
        <w:right w:w="0" w:type="dxa"/>
        <w:bottom w:w="0" w:type="dxa"/>
      </w:tblCellMar>
    </w:tblPr>
  </w:style>
  <w:style w:type="table" w:styleId="1024" w:customStyle="1">
    <w:name w:val="Grid Table 2 - Accent 2"/>
    <w:uiPriority w:val="99"/>
    <w:qFormat/>
    <w:rPr>
      <w:rFonts w:ascii="Calibri" w:hAnsi="Calibri"/>
    </w:rPr>
    <w:tblPr>
      <w:tblCellMar>
        <w:left w:w="0" w:type="dxa"/>
        <w:top w:w="0" w:type="dxa"/>
        <w:right w:w="0" w:type="dxa"/>
        <w:bottom w:w="0" w:type="dxa"/>
      </w:tblCellMar>
    </w:tblPr>
  </w:style>
  <w:style w:type="table" w:styleId="1025" w:customStyle="1">
    <w:name w:val="Grid Table 2 - Accent 3"/>
    <w:uiPriority w:val="99"/>
    <w:qFormat/>
    <w:rPr>
      <w:rFonts w:ascii="Calibri" w:hAnsi="Calibri"/>
    </w:rPr>
    <w:tblPr>
      <w:tblCellMar>
        <w:left w:w="0" w:type="dxa"/>
        <w:top w:w="0" w:type="dxa"/>
        <w:right w:w="0" w:type="dxa"/>
        <w:bottom w:w="0" w:type="dxa"/>
      </w:tblCellMar>
    </w:tblPr>
  </w:style>
  <w:style w:type="table" w:styleId="1026" w:customStyle="1">
    <w:name w:val="Grid Table 2 - Accent 4"/>
    <w:uiPriority w:val="99"/>
    <w:qFormat/>
    <w:rPr>
      <w:rFonts w:ascii="Calibri" w:hAnsi="Calibri"/>
    </w:rPr>
    <w:tblPr>
      <w:tblCellMar>
        <w:left w:w="0" w:type="dxa"/>
        <w:top w:w="0" w:type="dxa"/>
        <w:right w:w="0" w:type="dxa"/>
        <w:bottom w:w="0" w:type="dxa"/>
      </w:tblCellMar>
    </w:tblPr>
  </w:style>
  <w:style w:type="table" w:styleId="1027" w:customStyle="1">
    <w:name w:val="Grid Table 2 - Accent 5"/>
    <w:uiPriority w:val="99"/>
    <w:qFormat/>
    <w:rPr>
      <w:rFonts w:ascii="Calibri" w:hAnsi="Calibri"/>
    </w:rPr>
    <w:tblPr>
      <w:tblCellMar>
        <w:left w:w="0" w:type="dxa"/>
        <w:top w:w="0" w:type="dxa"/>
        <w:right w:w="0" w:type="dxa"/>
        <w:bottom w:w="0" w:type="dxa"/>
      </w:tblCellMar>
    </w:tblPr>
  </w:style>
  <w:style w:type="table" w:styleId="1028" w:customStyle="1">
    <w:name w:val="Grid Table 2 - Accent 6"/>
    <w:uiPriority w:val="99"/>
    <w:qFormat/>
    <w:rPr>
      <w:rFonts w:ascii="Calibri" w:hAnsi="Calibri"/>
    </w:rPr>
    <w:tblPr>
      <w:tblCellMar>
        <w:left w:w="0" w:type="dxa"/>
        <w:top w:w="0" w:type="dxa"/>
        <w:right w:w="0" w:type="dxa"/>
        <w:bottom w:w="0" w:type="dxa"/>
      </w:tblCellMar>
    </w:tblPr>
  </w:style>
  <w:style w:type="table" w:styleId="1029" w:customStyle="1">
    <w:name w:val="Grid Table 3"/>
    <w:uiPriority w:val="99"/>
    <w:qFormat/>
    <w:rPr>
      <w:rFonts w:ascii="Calibri" w:hAnsi="Calibri"/>
    </w:rPr>
    <w:tblPr>
      <w:tblCellMar>
        <w:left w:w="0" w:type="dxa"/>
        <w:top w:w="0" w:type="dxa"/>
        <w:right w:w="0" w:type="dxa"/>
        <w:bottom w:w="0" w:type="dxa"/>
      </w:tblCellMar>
    </w:tblPr>
  </w:style>
  <w:style w:type="table" w:styleId="1030" w:customStyle="1">
    <w:name w:val="Grid Table 3 - Accent 1"/>
    <w:uiPriority w:val="99"/>
    <w:qFormat/>
    <w:rPr>
      <w:rFonts w:ascii="Calibri" w:hAnsi="Calibri"/>
    </w:rPr>
    <w:tblPr>
      <w:tblCellMar>
        <w:left w:w="0" w:type="dxa"/>
        <w:top w:w="0" w:type="dxa"/>
        <w:right w:w="0" w:type="dxa"/>
        <w:bottom w:w="0" w:type="dxa"/>
      </w:tblCellMar>
    </w:tblPr>
  </w:style>
  <w:style w:type="table" w:styleId="1031" w:customStyle="1">
    <w:name w:val="Grid Table 3 - Accent 2"/>
    <w:uiPriority w:val="99"/>
    <w:qFormat/>
    <w:rPr>
      <w:rFonts w:ascii="Calibri" w:hAnsi="Calibri"/>
    </w:rPr>
    <w:tblPr>
      <w:tblCellMar>
        <w:left w:w="0" w:type="dxa"/>
        <w:top w:w="0" w:type="dxa"/>
        <w:right w:w="0" w:type="dxa"/>
        <w:bottom w:w="0" w:type="dxa"/>
      </w:tblCellMar>
    </w:tblPr>
  </w:style>
  <w:style w:type="table" w:styleId="1032" w:customStyle="1">
    <w:name w:val="Grid Table 3 - Accent 3"/>
    <w:uiPriority w:val="99"/>
    <w:qFormat/>
    <w:rPr>
      <w:rFonts w:ascii="Calibri" w:hAnsi="Calibri"/>
    </w:rPr>
    <w:tblPr>
      <w:tblCellMar>
        <w:left w:w="0" w:type="dxa"/>
        <w:top w:w="0" w:type="dxa"/>
        <w:right w:w="0" w:type="dxa"/>
        <w:bottom w:w="0" w:type="dxa"/>
      </w:tblCellMar>
    </w:tblPr>
  </w:style>
  <w:style w:type="table" w:styleId="1033" w:customStyle="1">
    <w:name w:val="Grid Table 3 - Accent 4"/>
    <w:uiPriority w:val="99"/>
    <w:qFormat/>
    <w:rPr>
      <w:rFonts w:ascii="Calibri" w:hAnsi="Calibri"/>
    </w:rPr>
    <w:tblPr>
      <w:tblCellMar>
        <w:left w:w="0" w:type="dxa"/>
        <w:top w:w="0" w:type="dxa"/>
        <w:right w:w="0" w:type="dxa"/>
        <w:bottom w:w="0" w:type="dxa"/>
      </w:tblCellMar>
    </w:tblPr>
  </w:style>
  <w:style w:type="table" w:styleId="1034" w:customStyle="1">
    <w:name w:val="Grid Table 3 - Accent 5"/>
    <w:uiPriority w:val="99"/>
    <w:qFormat/>
    <w:rPr>
      <w:rFonts w:ascii="Calibri" w:hAnsi="Calibri"/>
    </w:rPr>
    <w:tblPr>
      <w:tblCellMar>
        <w:left w:w="0" w:type="dxa"/>
        <w:top w:w="0" w:type="dxa"/>
        <w:right w:w="0" w:type="dxa"/>
        <w:bottom w:w="0" w:type="dxa"/>
      </w:tblCellMar>
    </w:tblPr>
  </w:style>
  <w:style w:type="table" w:styleId="1035" w:customStyle="1">
    <w:name w:val="Grid Table 3 - Accent 6"/>
    <w:uiPriority w:val="99"/>
    <w:qFormat/>
    <w:rPr>
      <w:rFonts w:ascii="Calibri" w:hAnsi="Calibri"/>
    </w:rPr>
    <w:tblPr>
      <w:tblCellMar>
        <w:left w:w="0" w:type="dxa"/>
        <w:top w:w="0" w:type="dxa"/>
        <w:right w:w="0" w:type="dxa"/>
        <w:bottom w:w="0" w:type="dxa"/>
      </w:tblCellMar>
    </w:tblPr>
  </w:style>
  <w:style w:type="table" w:styleId="1036" w:customStyle="1">
    <w:name w:val="Grid Table 4"/>
    <w:uiPriority w:val="59"/>
    <w:qFormat/>
    <w:rPr>
      <w:rFonts w:ascii="Calibri" w:hAnsi="Calibri"/>
    </w:rPr>
    <w:tblPr>
      <w:tblCellMar>
        <w:left w:w="0" w:type="dxa"/>
        <w:top w:w="0" w:type="dxa"/>
        <w:right w:w="0" w:type="dxa"/>
        <w:bottom w:w="0" w:type="dxa"/>
      </w:tblCellMar>
    </w:tblPr>
  </w:style>
  <w:style w:type="table" w:styleId="1037" w:customStyle="1">
    <w:name w:val="Grid Table 4 - Accent 1"/>
    <w:uiPriority w:val="59"/>
    <w:qFormat/>
    <w:rPr>
      <w:rFonts w:ascii="Calibri" w:hAnsi="Calibri"/>
    </w:rPr>
    <w:tblPr>
      <w:tblCellMar>
        <w:left w:w="0" w:type="dxa"/>
        <w:top w:w="0" w:type="dxa"/>
        <w:right w:w="0" w:type="dxa"/>
        <w:bottom w:w="0" w:type="dxa"/>
      </w:tblCellMar>
    </w:tblPr>
  </w:style>
  <w:style w:type="table" w:styleId="1038" w:customStyle="1">
    <w:name w:val="Grid Table 4 - Accent 2"/>
    <w:uiPriority w:val="59"/>
    <w:qFormat/>
    <w:rPr>
      <w:rFonts w:ascii="Calibri" w:hAnsi="Calibri"/>
    </w:rPr>
    <w:tblPr>
      <w:tblCellMar>
        <w:left w:w="0" w:type="dxa"/>
        <w:top w:w="0" w:type="dxa"/>
        <w:right w:w="0" w:type="dxa"/>
        <w:bottom w:w="0" w:type="dxa"/>
      </w:tblCellMar>
    </w:tblPr>
  </w:style>
  <w:style w:type="table" w:styleId="1039" w:customStyle="1">
    <w:name w:val="Grid Table 4 - Accent 3"/>
    <w:uiPriority w:val="59"/>
    <w:qFormat/>
    <w:rPr>
      <w:rFonts w:ascii="Calibri" w:hAnsi="Calibri"/>
    </w:rPr>
    <w:tblPr>
      <w:tblCellMar>
        <w:left w:w="0" w:type="dxa"/>
        <w:top w:w="0" w:type="dxa"/>
        <w:right w:w="0" w:type="dxa"/>
        <w:bottom w:w="0" w:type="dxa"/>
      </w:tblCellMar>
    </w:tblPr>
  </w:style>
  <w:style w:type="table" w:styleId="1040" w:customStyle="1">
    <w:name w:val="Grid Table 4 - Accent 4"/>
    <w:uiPriority w:val="59"/>
    <w:qFormat/>
    <w:rPr>
      <w:rFonts w:ascii="Calibri" w:hAnsi="Calibri"/>
    </w:rPr>
    <w:tblPr>
      <w:tblCellMar>
        <w:left w:w="0" w:type="dxa"/>
        <w:top w:w="0" w:type="dxa"/>
        <w:right w:w="0" w:type="dxa"/>
        <w:bottom w:w="0" w:type="dxa"/>
      </w:tblCellMar>
    </w:tblPr>
  </w:style>
  <w:style w:type="table" w:styleId="1041" w:customStyle="1">
    <w:name w:val="Grid Table 4 - Accent 5"/>
    <w:uiPriority w:val="59"/>
    <w:qFormat/>
    <w:rPr>
      <w:rFonts w:ascii="Calibri" w:hAnsi="Calibri"/>
    </w:rPr>
    <w:tblPr>
      <w:tblCellMar>
        <w:left w:w="0" w:type="dxa"/>
        <w:top w:w="0" w:type="dxa"/>
        <w:right w:w="0" w:type="dxa"/>
        <w:bottom w:w="0" w:type="dxa"/>
      </w:tblCellMar>
    </w:tblPr>
  </w:style>
  <w:style w:type="table" w:styleId="1042" w:customStyle="1">
    <w:name w:val="Grid Table 4 - Accent 6"/>
    <w:uiPriority w:val="59"/>
    <w:qFormat/>
    <w:rPr>
      <w:rFonts w:ascii="Calibri" w:hAnsi="Calibri"/>
    </w:rPr>
    <w:tblPr>
      <w:tblCellMar>
        <w:left w:w="0" w:type="dxa"/>
        <w:top w:w="0" w:type="dxa"/>
        <w:right w:w="0" w:type="dxa"/>
        <w:bottom w:w="0" w:type="dxa"/>
      </w:tblCellMar>
    </w:tblPr>
  </w:style>
  <w:style w:type="table" w:styleId="1043" w:customStyle="1">
    <w:name w:val="Grid Table 5 Dark"/>
    <w:uiPriority w:val="99"/>
    <w:qFormat/>
    <w:rPr>
      <w:rFonts w:ascii="Calibri" w:hAnsi="Calibri"/>
    </w:rPr>
    <w:tblPr>
      <w:tblCellMar>
        <w:left w:w="0" w:type="dxa"/>
        <w:top w:w="0" w:type="dxa"/>
        <w:right w:w="0" w:type="dxa"/>
        <w:bottom w:w="0" w:type="dxa"/>
      </w:tblCellMar>
    </w:tblPr>
  </w:style>
  <w:style w:type="table" w:styleId="1044" w:customStyle="1">
    <w:name w:val="Grid Table 5 Dark- Accent 1"/>
    <w:uiPriority w:val="99"/>
    <w:qFormat/>
    <w:rPr>
      <w:rFonts w:ascii="Calibri" w:hAnsi="Calibri"/>
    </w:rPr>
    <w:tblPr>
      <w:tblCellMar>
        <w:left w:w="0" w:type="dxa"/>
        <w:top w:w="0" w:type="dxa"/>
        <w:right w:w="0" w:type="dxa"/>
        <w:bottom w:w="0" w:type="dxa"/>
      </w:tblCellMar>
    </w:tblPr>
  </w:style>
  <w:style w:type="table" w:styleId="1045" w:customStyle="1">
    <w:name w:val="Grid Table 5 Dark - Accent 2"/>
    <w:uiPriority w:val="99"/>
    <w:qFormat/>
    <w:rPr>
      <w:rFonts w:ascii="Calibri" w:hAnsi="Calibri"/>
    </w:rPr>
    <w:tblPr>
      <w:tblCellMar>
        <w:left w:w="0" w:type="dxa"/>
        <w:top w:w="0" w:type="dxa"/>
        <w:right w:w="0" w:type="dxa"/>
        <w:bottom w:w="0" w:type="dxa"/>
      </w:tblCellMar>
    </w:tblPr>
  </w:style>
  <w:style w:type="table" w:styleId="1046" w:customStyle="1">
    <w:name w:val="Grid Table 5 Dark - Accent 3"/>
    <w:uiPriority w:val="99"/>
    <w:qFormat/>
    <w:rPr>
      <w:rFonts w:ascii="Calibri" w:hAnsi="Calibri"/>
    </w:rPr>
    <w:tblPr>
      <w:tblCellMar>
        <w:left w:w="0" w:type="dxa"/>
        <w:top w:w="0" w:type="dxa"/>
        <w:right w:w="0" w:type="dxa"/>
        <w:bottom w:w="0" w:type="dxa"/>
      </w:tblCellMar>
    </w:tblPr>
  </w:style>
  <w:style w:type="table" w:styleId="1047" w:customStyle="1">
    <w:name w:val="Grid Table 5 Dark- Accent 4"/>
    <w:uiPriority w:val="99"/>
    <w:qFormat/>
    <w:rPr>
      <w:rFonts w:ascii="Calibri" w:hAnsi="Calibri"/>
    </w:rPr>
    <w:tblPr>
      <w:tblCellMar>
        <w:left w:w="0" w:type="dxa"/>
        <w:top w:w="0" w:type="dxa"/>
        <w:right w:w="0" w:type="dxa"/>
        <w:bottom w:w="0" w:type="dxa"/>
      </w:tblCellMar>
    </w:tblPr>
  </w:style>
  <w:style w:type="table" w:styleId="1048" w:customStyle="1">
    <w:name w:val="Grid Table 5 Dark - Accent 5"/>
    <w:uiPriority w:val="99"/>
    <w:qFormat/>
    <w:rPr>
      <w:rFonts w:ascii="Calibri" w:hAnsi="Calibri"/>
    </w:rPr>
    <w:tblPr>
      <w:tblCellMar>
        <w:left w:w="0" w:type="dxa"/>
        <w:top w:w="0" w:type="dxa"/>
        <w:right w:w="0" w:type="dxa"/>
        <w:bottom w:w="0" w:type="dxa"/>
      </w:tblCellMar>
    </w:tblPr>
  </w:style>
  <w:style w:type="table" w:styleId="1049" w:customStyle="1">
    <w:name w:val="Grid Table 5 Dark - Accent 6"/>
    <w:uiPriority w:val="99"/>
    <w:qFormat/>
    <w:rPr>
      <w:rFonts w:ascii="Calibri" w:hAnsi="Calibri"/>
    </w:rPr>
    <w:tblPr>
      <w:tblCellMar>
        <w:left w:w="0" w:type="dxa"/>
        <w:top w:w="0" w:type="dxa"/>
        <w:right w:w="0" w:type="dxa"/>
        <w:bottom w:w="0" w:type="dxa"/>
      </w:tblCellMar>
    </w:tblPr>
  </w:style>
  <w:style w:type="table" w:styleId="1050" w:customStyle="1">
    <w:name w:val="Grid Table 6 Colorful"/>
    <w:uiPriority w:val="99"/>
    <w:qFormat/>
    <w:rPr>
      <w:rFonts w:ascii="Calibri" w:hAnsi="Calibri"/>
    </w:rPr>
    <w:tblPr>
      <w:tblCellMar>
        <w:left w:w="0" w:type="dxa"/>
        <w:top w:w="0" w:type="dxa"/>
        <w:right w:w="0" w:type="dxa"/>
        <w:bottom w:w="0" w:type="dxa"/>
      </w:tblCellMar>
    </w:tblPr>
  </w:style>
  <w:style w:type="table" w:styleId="1051"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52"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53"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54"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55"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56"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57" w:customStyle="1">
    <w:name w:val="Grid Table 7 Colorful"/>
    <w:uiPriority w:val="99"/>
    <w:qFormat/>
    <w:rPr>
      <w:rFonts w:ascii="Calibri" w:hAnsi="Calibri"/>
    </w:rPr>
    <w:tblPr>
      <w:tblCellMar>
        <w:left w:w="0" w:type="dxa"/>
        <w:top w:w="0" w:type="dxa"/>
        <w:right w:w="0" w:type="dxa"/>
        <w:bottom w:w="0" w:type="dxa"/>
      </w:tblCellMar>
    </w:tblPr>
  </w:style>
  <w:style w:type="table" w:styleId="1058"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59"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60"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61"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62"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63"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64" w:customStyle="1">
    <w:name w:val="List Table 1 Light"/>
    <w:uiPriority w:val="99"/>
    <w:qFormat/>
    <w:rPr>
      <w:rFonts w:ascii="Calibri" w:hAnsi="Calibri"/>
    </w:rPr>
    <w:tblPr>
      <w:tblCellMar>
        <w:left w:w="0" w:type="dxa"/>
        <w:top w:w="0" w:type="dxa"/>
        <w:right w:w="0" w:type="dxa"/>
        <w:bottom w:w="0" w:type="dxa"/>
      </w:tblCellMar>
    </w:tblPr>
  </w:style>
  <w:style w:type="table" w:styleId="1065" w:customStyle="1">
    <w:name w:val="List Table 1 Light - Accent 1"/>
    <w:uiPriority w:val="99"/>
    <w:qFormat/>
    <w:rPr>
      <w:rFonts w:ascii="Calibri" w:hAnsi="Calibri"/>
    </w:rPr>
    <w:tblPr>
      <w:tblCellMar>
        <w:left w:w="0" w:type="dxa"/>
        <w:top w:w="0" w:type="dxa"/>
        <w:right w:w="0" w:type="dxa"/>
        <w:bottom w:w="0" w:type="dxa"/>
      </w:tblCellMar>
    </w:tblPr>
  </w:style>
  <w:style w:type="table" w:styleId="1066" w:customStyle="1">
    <w:name w:val="List Table 1 Light - Accent 2"/>
    <w:uiPriority w:val="99"/>
    <w:qFormat/>
    <w:rPr>
      <w:rFonts w:ascii="Calibri" w:hAnsi="Calibri"/>
    </w:rPr>
    <w:tblPr>
      <w:tblCellMar>
        <w:left w:w="0" w:type="dxa"/>
        <w:top w:w="0" w:type="dxa"/>
        <w:right w:w="0" w:type="dxa"/>
        <w:bottom w:w="0" w:type="dxa"/>
      </w:tblCellMar>
    </w:tblPr>
  </w:style>
  <w:style w:type="table" w:styleId="1067" w:customStyle="1">
    <w:name w:val="List Table 1 Light - Accent 3"/>
    <w:uiPriority w:val="99"/>
    <w:qFormat/>
    <w:rPr>
      <w:rFonts w:ascii="Calibri" w:hAnsi="Calibri"/>
    </w:rPr>
    <w:tblPr>
      <w:tblCellMar>
        <w:left w:w="0" w:type="dxa"/>
        <w:top w:w="0" w:type="dxa"/>
        <w:right w:w="0" w:type="dxa"/>
        <w:bottom w:w="0" w:type="dxa"/>
      </w:tblCellMar>
    </w:tblPr>
  </w:style>
  <w:style w:type="table" w:styleId="1068" w:customStyle="1">
    <w:name w:val="List Table 1 Light - Accent 4"/>
    <w:uiPriority w:val="99"/>
    <w:qFormat/>
    <w:rPr>
      <w:rFonts w:ascii="Calibri" w:hAnsi="Calibri"/>
    </w:rPr>
    <w:tblPr>
      <w:tblCellMar>
        <w:left w:w="0" w:type="dxa"/>
        <w:top w:w="0" w:type="dxa"/>
        <w:right w:w="0" w:type="dxa"/>
        <w:bottom w:w="0" w:type="dxa"/>
      </w:tblCellMar>
    </w:tblPr>
  </w:style>
  <w:style w:type="table" w:styleId="1069" w:customStyle="1">
    <w:name w:val="List Table 1 Light - Accent 5"/>
    <w:uiPriority w:val="99"/>
    <w:qFormat/>
    <w:rPr>
      <w:rFonts w:ascii="Calibri" w:hAnsi="Calibri"/>
    </w:rPr>
    <w:tblPr>
      <w:tblCellMar>
        <w:left w:w="0" w:type="dxa"/>
        <w:top w:w="0" w:type="dxa"/>
        <w:right w:w="0" w:type="dxa"/>
        <w:bottom w:w="0" w:type="dxa"/>
      </w:tblCellMar>
    </w:tblPr>
  </w:style>
  <w:style w:type="table" w:styleId="1070" w:customStyle="1">
    <w:name w:val="List Table 1 Light - Accent 6"/>
    <w:uiPriority w:val="99"/>
    <w:qFormat/>
    <w:rPr>
      <w:rFonts w:ascii="Calibri" w:hAnsi="Calibri"/>
    </w:rPr>
    <w:tblPr>
      <w:tblCellMar>
        <w:left w:w="0" w:type="dxa"/>
        <w:top w:w="0" w:type="dxa"/>
        <w:right w:w="0" w:type="dxa"/>
        <w:bottom w:w="0" w:type="dxa"/>
      </w:tblCellMar>
    </w:tblPr>
  </w:style>
  <w:style w:type="table" w:styleId="1071" w:customStyle="1">
    <w:name w:val="List Table 2"/>
    <w:uiPriority w:val="99"/>
    <w:qFormat/>
    <w:rPr>
      <w:rFonts w:ascii="Calibri" w:hAnsi="Calibri"/>
    </w:rPr>
    <w:tblPr>
      <w:tblCellMar>
        <w:left w:w="0" w:type="dxa"/>
        <w:top w:w="0" w:type="dxa"/>
        <w:right w:w="0" w:type="dxa"/>
        <w:bottom w:w="0" w:type="dxa"/>
      </w:tblCellMar>
    </w:tblPr>
  </w:style>
  <w:style w:type="table" w:styleId="1072" w:customStyle="1">
    <w:name w:val="List Table 2 - Accent 1"/>
    <w:uiPriority w:val="99"/>
    <w:qFormat/>
    <w:rPr>
      <w:rFonts w:ascii="Calibri" w:hAnsi="Calibri"/>
    </w:rPr>
    <w:tblPr>
      <w:tblCellMar>
        <w:left w:w="0" w:type="dxa"/>
        <w:top w:w="0" w:type="dxa"/>
        <w:right w:w="0" w:type="dxa"/>
        <w:bottom w:w="0" w:type="dxa"/>
      </w:tblCellMar>
    </w:tblPr>
  </w:style>
  <w:style w:type="table" w:styleId="1073" w:customStyle="1">
    <w:name w:val="List Table 2 - Accent 2"/>
    <w:uiPriority w:val="99"/>
    <w:qFormat/>
    <w:rPr>
      <w:rFonts w:ascii="Calibri" w:hAnsi="Calibri"/>
    </w:rPr>
    <w:tblPr>
      <w:tblCellMar>
        <w:left w:w="0" w:type="dxa"/>
        <w:top w:w="0" w:type="dxa"/>
        <w:right w:w="0" w:type="dxa"/>
        <w:bottom w:w="0" w:type="dxa"/>
      </w:tblCellMar>
    </w:tblPr>
  </w:style>
  <w:style w:type="table" w:styleId="1074" w:customStyle="1">
    <w:name w:val="List Table 2 - Accent 3"/>
    <w:uiPriority w:val="99"/>
    <w:qFormat/>
    <w:rPr>
      <w:rFonts w:ascii="Calibri" w:hAnsi="Calibri"/>
    </w:rPr>
    <w:tblPr>
      <w:tblCellMar>
        <w:left w:w="0" w:type="dxa"/>
        <w:top w:w="0" w:type="dxa"/>
        <w:right w:w="0" w:type="dxa"/>
        <w:bottom w:w="0" w:type="dxa"/>
      </w:tblCellMar>
    </w:tblPr>
  </w:style>
  <w:style w:type="table" w:styleId="1075" w:customStyle="1">
    <w:name w:val="List Table 2 - Accent 4"/>
    <w:uiPriority w:val="99"/>
    <w:qFormat/>
    <w:rPr>
      <w:rFonts w:ascii="Calibri" w:hAnsi="Calibri"/>
    </w:rPr>
    <w:tblPr>
      <w:tblCellMar>
        <w:left w:w="0" w:type="dxa"/>
        <w:top w:w="0" w:type="dxa"/>
        <w:right w:w="0" w:type="dxa"/>
        <w:bottom w:w="0" w:type="dxa"/>
      </w:tblCellMar>
    </w:tblPr>
  </w:style>
  <w:style w:type="table" w:styleId="1076" w:customStyle="1">
    <w:name w:val="List Table 2 - Accent 5"/>
    <w:uiPriority w:val="99"/>
    <w:qFormat/>
    <w:rPr>
      <w:rFonts w:ascii="Calibri" w:hAnsi="Calibri"/>
    </w:rPr>
    <w:tblPr>
      <w:tblCellMar>
        <w:left w:w="0" w:type="dxa"/>
        <w:top w:w="0" w:type="dxa"/>
        <w:right w:w="0" w:type="dxa"/>
        <w:bottom w:w="0" w:type="dxa"/>
      </w:tblCellMar>
    </w:tblPr>
  </w:style>
  <w:style w:type="table" w:styleId="1077" w:customStyle="1">
    <w:name w:val="List Table 2 - Accent 6"/>
    <w:uiPriority w:val="99"/>
    <w:qFormat/>
    <w:rPr>
      <w:rFonts w:ascii="Calibri" w:hAnsi="Calibri"/>
    </w:rPr>
    <w:tblPr>
      <w:tblCellMar>
        <w:left w:w="0" w:type="dxa"/>
        <w:top w:w="0" w:type="dxa"/>
        <w:right w:w="0" w:type="dxa"/>
        <w:bottom w:w="0" w:type="dxa"/>
      </w:tblCellMar>
    </w:tblPr>
  </w:style>
  <w:style w:type="table" w:styleId="1078" w:customStyle="1">
    <w:name w:val="List Table 3"/>
    <w:uiPriority w:val="99"/>
    <w:qFormat/>
    <w:rPr>
      <w:rFonts w:ascii="Calibri" w:hAnsi="Calibri"/>
    </w:rPr>
    <w:tblPr>
      <w:tblCellMar>
        <w:left w:w="0" w:type="dxa"/>
        <w:top w:w="0" w:type="dxa"/>
        <w:right w:w="0" w:type="dxa"/>
        <w:bottom w:w="0" w:type="dxa"/>
      </w:tblCellMar>
    </w:tblPr>
  </w:style>
  <w:style w:type="table" w:styleId="1079" w:customStyle="1">
    <w:name w:val="List Table 3 - Accent 1"/>
    <w:uiPriority w:val="99"/>
    <w:qFormat/>
    <w:rPr>
      <w:rFonts w:ascii="Calibri" w:hAnsi="Calibri"/>
    </w:rPr>
    <w:tblPr>
      <w:tblCellMar>
        <w:left w:w="0" w:type="dxa"/>
        <w:top w:w="0" w:type="dxa"/>
        <w:right w:w="0" w:type="dxa"/>
        <w:bottom w:w="0" w:type="dxa"/>
      </w:tblCellMar>
    </w:tblPr>
  </w:style>
  <w:style w:type="table" w:styleId="1080" w:customStyle="1">
    <w:name w:val="List Table 3 - Accent 2"/>
    <w:uiPriority w:val="99"/>
    <w:qFormat/>
    <w:rPr>
      <w:rFonts w:ascii="Calibri" w:hAnsi="Calibri"/>
    </w:rPr>
    <w:tblPr>
      <w:tblCellMar>
        <w:left w:w="0" w:type="dxa"/>
        <w:top w:w="0" w:type="dxa"/>
        <w:right w:w="0" w:type="dxa"/>
        <w:bottom w:w="0" w:type="dxa"/>
      </w:tblCellMar>
    </w:tblPr>
  </w:style>
  <w:style w:type="table" w:styleId="1081" w:customStyle="1">
    <w:name w:val="List Table 3 - Accent 3"/>
    <w:uiPriority w:val="99"/>
    <w:qFormat/>
    <w:rPr>
      <w:rFonts w:ascii="Calibri" w:hAnsi="Calibri"/>
    </w:rPr>
    <w:tblPr>
      <w:tblCellMar>
        <w:left w:w="0" w:type="dxa"/>
        <w:top w:w="0" w:type="dxa"/>
        <w:right w:w="0" w:type="dxa"/>
        <w:bottom w:w="0" w:type="dxa"/>
      </w:tblCellMar>
    </w:tblPr>
  </w:style>
  <w:style w:type="table" w:styleId="1082" w:customStyle="1">
    <w:name w:val="List Table 3 - Accent 4"/>
    <w:uiPriority w:val="99"/>
    <w:qFormat/>
    <w:rPr>
      <w:rFonts w:ascii="Calibri" w:hAnsi="Calibri"/>
    </w:rPr>
    <w:tblPr>
      <w:tblCellMar>
        <w:left w:w="0" w:type="dxa"/>
        <w:top w:w="0" w:type="dxa"/>
        <w:right w:w="0" w:type="dxa"/>
        <w:bottom w:w="0" w:type="dxa"/>
      </w:tblCellMar>
    </w:tblPr>
  </w:style>
  <w:style w:type="table" w:styleId="1083" w:customStyle="1">
    <w:name w:val="List Table 3 - Accent 5"/>
    <w:uiPriority w:val="99"/>
    <w:qFormat/>
    <w:rPr>
      <w:rFonts w:ascii="Calibri" w:hAnsi="Calibri"/>
    </w:rPr>
    <w:tblPr>
      <w:tblCellMar>
        <w:left w:w="0" w:type="dxa"/>
        <w:top w:w="0" w:type="dxa"/>
        <w:right w:w="0" w:type="dxa"/>
        <w:bottom w:w="0" w:type="dxa"/>
      </w:tblCellMar>
    </w:tblPr>
  </w:style>
  <w:style w:type="table" w:styleId="1084" w:customStyle="1">
    <w:name w:val="List Table 3 - Accent 6"/>
    <w:uiPriority w:val="99"/>
    <w:qFormat/>
    <w:rPr>
      <w:rFonts w:ascii="Calibri" w:hAnsi="Calibri"/>
    </w:rPr>
    <w:tblPr>
      <w:tblCellMar>
        <w:left w:w="0" w:type="dxa"/>
        <w:top w:w="0" w:type="dxa"/>
        <w:right w:w="0" w:type="dxa"/>
        <w:bottom w:w="0" w:type="dxa"/>
      </w:tblCellMar>
    </w:tblPr>
  </w:style>
  <w:style w:type="table" w:styleId="1085" w:customStyle="1">
    <w:name w:val="List Table 4"/>
    <w:uiPriority w:val="99"/>
    <w:qFormat/>
    <w:rPr>
      <w:rFonts w:ascii="Calibri" w:hAnsi="Calibri"/>
    </w:rPr>
    <w:tblPr>
      <w:tblCellMar>
        <w:left w:w="0" w:type="dxa"/>
        <w:top w:w="0" w:type="dxa"/>
        <w:right w:w="0" w:type="dxa"/>
        <w:bottom w:w="0" w:type="dxa"/>
      </w:tblCellMar>
    </w:tblPr>
  </w:style>
  <w:style w:type="table" w:styleId="1086" w:customStyle="1">
    <w:name w:val="List Table 4 - Accent 1"/>
    <w:uiPriority w:val="99"/>
    <w:qFormat/>
    <w:rPr>
      <w:rFonts w:ascii="Calibri" w:hAnsi="Calibri"/>
    </w:rPr>
    <w:tblPr>
      <w:tblCellMar>
        <w:left w:w="0" w:type="dxa"/>
        <w:top w:w="0" w:type="dxa"/>
        <w:right w:w="0" w:type="dxa"/>
        <w:bottom w:w="0" w:type="dxa"/>
      </w:tblCellMar>
    </w:tblPr>
  </w:style>
  <w:style w:type="table" w:styleId="1087" w:customStyle="1">
    <w:name w:val="List Table 4 - Accent 2"/>
    <w:uiPriority w:val="99"/>
    <w:qFormat/>
    <w:rPr>
      <w:rFonts w:ascii="Calibri" w:hAnsi="Calibri"/>
    </w:rPr>
    <w:tblPr>
      <w:tblCellMar>
        <w:left w:w="0" w:type="dxa"/>
        <w:top w:w="0" w:type="dxa"/>
        <w:right w:w="0" w:type="dxa"/>
        <w:bottom w:w="0" w:type="dxa"/>
      </w:tblCellMar>
    </w:tblPr>
  </w:style>
  <w:style w:type="table" w:styleId="1088" w:customStyle="1">
    <w:name w:val="List Table 4 - Accent 3"/>
    <w:uiPriority w:val="99"/>
    <w:qFormat/>
    <w:rPr>
      <w:rFonts w:ascii="Calibri" w:hAnsi="Calibri"/>
    </w:rPr>
    <w:tblPr>
      <w:tblCellMar>
        <w:left w:w="0" w:type="dxa"/>
        <w:top w:w="0" w:type="dxa"/>
        <w:right w:w="0" w:type="dxa"/>
        <w:bottom w:w="0" w:type="dxa"/>
      </w:tblCellMar>
    </w:tblPr>
  </w:style>
  <w:style w:type="table" w:styleId="1089" w:customStyle="1">
    <w:name w:val="List Table 4 - Accent 4"/>
    <w:uiPriority w:val="99"/>
    <w:qFormat/>
    <w:rPr>
      <w:rFonts w:ascii="Calibri" w:hAnsi="Calibri"/>
    </w:rPr>
    <w:tblPr>
      <w:tblCellMar>
        <w:left w:w="0" w:type="dxa"/>
        <w:top w:w="0" w:type="dxa"/>
        <w:right w:w="0" w:type="dxa"/>
        <w:bottom w:w="0" w:type="dxa"/>
      </w:tblCellMar>
    </w:tblPr>
  </w:style>
  <w:style w:type="table" w:styleId="1090" w:customStyle="1">
    <w:name w:val="List Table 4 - Accent 5"/>
    <w:uiPriority w:val="99"/>
    <w:qFormat/>
    <w:rPr>
      <w:rFonts w:ascii="Calibri" w:hAnsi="Calibri"/>
    </w:rPr>
    <w:tblPr>
      <w:tblCellMar>
        <w:left w:w="0" w:type="dxa"/>
        <w:top w:w="0" w:type="dxa"/>
        <w:right w:w="0" w:type="dxa"/>
        <w:bottom w:w="0" w:type="dxa"/>
      </w:tblCellMar>
    </w:tblPr>
  </w:style>
  <w:style w:type="table" w:styleId="1091" w:customStyle="1">
    <w:name w:val="List Table 4 - Accent 6"/>
    <w:uiPriority w:val="99"/>
    <w:qFormat/>
    <w:rPr>
      <w:rFonts w:ascii="Calibri" w:hAnsi="Calibri"/>
    </w:rPr>
    <w:tblPr>
      <w:tblCellMar>
        <w:left w:w="0" w:type="dxa"/>
        <w:top w:w="0" w:type="dxa"/>
        <w:right w:w="0" w:type="dxa"/>
        <w:bottom w:w="0" w:type="dxa"/>
      </w:tblCellMar>
    </w:tblPr>
  </w:style>
  <w:style w:type="table" w:styleId="1092" w:customStyle="1">
    <w:name w:val="List Table 5 Dark"/>
    <w:uiPriority w:val="99"/>
    <w:qFormat/>
    <w:rPr>
      <w:rFonts w:ascii="Calibri" w:hAnsi="Calibri"/>
    </w:rPr>
    <w:tblPr>
      <w:tblCellMar>
        <w:left w:w="0" w:type="dxa"/>
        <w:top w:w="0" w:type="dxa"/>
        <w:right w:w="0" w:type="dxa"/>
        <w:bottom w:w="0" w:type="dxa"/>
      </w:tblCellMar>
    </w:tblPr>
  </w:style>
  <w:style w:type="table" w:styleId="1093" w:customStyle="1">
    <w:name w:val="List Table 5 Dark - Accent 1"/>
    <w:uiPriority w:val="99"/>
    <w:qFormat/>
    <w:rPr>
      <w:rFonts w:ascii="Calibri" w:hAnsi="Calibri"/>
    </w:rPr>
    <w:tblPr>
      <w:tblCellMar>
        <w:left w:w="0" w:type="dxa"/>
        <w:top w:w="0" w:type="dxa"/>
        <w:right w:w="0" w:type="dxa"/>
        <w:bottom w:w="0" w:type="dxa"/>
      </w:tblCellMar>
    </w:tblPr>
  </w:style>
  <w:style w:type="table" w:styleId="1094" w:customStyle="1">
    <w:name w:val="List Table 5 Dark - Accent 2"/>
    <w:uiPriority w:val="99"/>
    <w:qFormat/>
    <w:rPr>
      <w:rFonts w:ascii="Calibri" w:hAnsi="Calibri"/>
    </w:rPr>
    <w:tblPr>
      <w:tblCellMar>
        <w:left w:w="0" w:type="dxa"/>
        <w:top w:w="0" w:type="dxa"/>
        <w:right w:w="0" w:type="dxa"/>
        <w:bottom w:w="0" w:type="dxa"/>
      </w:tblCellMar>
    </w:tblPr>
  </w:style>
  <w:style w:type="table" w:styleId="1095" w:customStyle="1">
    <w:name w:val="List Table 5 Dark - Accent 3"/>
    <w:uiPriority w:val="99"/>
    <w:qFormat/>
    <w:rPr>
      <w:rFonts w:ascii="Calibri" w:hAnsi="Calibri"/>
    </w:rPr>
    <w:tblPr>
      <w:tblCellMar>
        <w:left w:w="0" w:type="dxa"/>
        <w:top w:w="0" w:type="dxa"/>
        <w:right w:w="0" w:type="dxa"/>
        <w:bottom w:w="0" w:type="dxa"/>
      </w:tblCellMar>
    </w:tblPr>
  </w:style>
  <w:style w:type="table" w:styleId="1096" w:customStyle="1">
    <w:name w:val="List Table 5 Dark - Accent 4"/>
    <w:uiPriority w:val="99"/>
    <w:qFormat/>
    <w:rPr>
      <w:rFonts w:ascii="Calibri" w:hAnsi="Calibri"/>
    </w:rPr>
    <w:tblPr>
      <w:tblCellMar>
        <w:left w:w="0" w:type="dxa"/>
        <w:top w:w="0" w:type="dxa"/>
        <w:right w:w="0" w:type="dxa"/>
        <w:bottom w:w="0" w:type="dxa"/>
      </w:tblCellMar>
    </w:tblPr>
  </w:style>
  <w:style w:type="table" w:styleId="1097" w:customStyle="1">
    <w:name w:val="List Table 5 Dark - Accent 5"/>
    <w:uiPriority w:val="99"/>
    <w:qFormat/>
    <w:rPr>
      <w:rFonts w:ascii="Calibri" w:hAnsi="Calibri"/>
    </w:rPr>
    <w:tblPr>
      <w:tblCellMar>
        <w:left w:w="0" w:type="dxa"/>
        <w:top w:w="0" w:type="dxa"/>
        <w:right w:w="0" w:type="dxa"/>
        <w:bottom w:w="0" w:type="dxa"/>
      </w:tblCellMar>
    </w:tblPr>
  </w:style>
  <w:style w:type="table" w:styleId="1098" w:customStyle="1">
    <w:name w:val="List Table 5 Dark - Accent 6"/>
    <w:uiPriority w:val="99"/>
    <w:qFormat/>
    <w:rPr>
      <w:rFonts w:ascii="Calibri" w:hAnsi="Calibri"/>
    </w:rPr>
    <w:tblPr>
      <w:tblCellMar>
        <w:left w:w="0" w:type="dxa"/>
        <w:top w:w="0" w:type="dxa"/>
        <w:right w:w="0" w:type="dxa"/>
        <w:bottom w:w="0" w:type="dxa"/>
      </w:tblCellMar>
    </w:tblPr>
  </w:style>
  <w:style w:type="table" w:styleId="1099" w:customStyle="1">
    <w:name w:val="List Table 6 Colorful"/>
    <w:uiPriority w:val="99"/>
    <w:qFormat/>
    <w:rPr>
      <w:rFonts w:ascii="Calibri" w:hAnsi="Calibri"/>
    </w:rPr>
    <w:tblPr>
      <w:tblCellMar>
        <w:left w:w="0" w:type="dxa"/>
        <w:top w:w="0" w:type="dxa"/>
        <w:right w:w="0" w:type="dxa"/>
        <w:bottom w:w="0" w:type="dxa"/>
      </w:tblCellMar>
    </w:tblPr>
  </w:style>
  <w:style w:type="table" w:styleId="1100"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01"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02"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03"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04"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05"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06" w:customStyle="1">
    <w:name w:val="List Table 7 Colorful"/>
    <w:uiPriority w:val="99"/>
    <w:qFormat/>
    <w:rPr>
      <w:rFonts w:ascii="Calibri" w:hAnsi="Calibri"/>
    </w:rPr>
    <w:tblPr>
      <w:tblCellMar>
        <w:left w:w="0" w:type="dxa"/>
        <w:top w:w="0" w:type="dxa"/>
        <w:right w:w="0" w:type="dxa"/>
        <w:bottom w:w="0" w:type="dxa"/>
      </w:tblCellMar>
    </w:tblPr>
  </w:style>
  <w:style w:type="table" w:styleId="1107"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08"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09"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10"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11"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12"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13"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14"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15"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16"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17"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18"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19"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20"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21"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22"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23"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24"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25"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26"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27" w:customStyle="1">
    <w:name w:val="Bordered"/>
    <w:uiPriority w:val="99"/>
    <w:qFormat/>
    <w:rPr>
      <w:rFonts w:ascii="Calibri" w:hAnsi="Calibri"/>
    </w:rPr>
    <w:tblPr>
      <w:tblCellMar>
        <w:left w:w="0" w:type="dxa"/>
        <w:top w:w="0" w:type="dxa"/>
        <w:right w:w="0" w:type="dxa"/>
        <w:bottom w:w="0" w:type="dxa"/>
      </w:tblCellMar>
    </w:tblPr>
  </w:style>
  <w:style w:type="table" w:styleId="1128" w:customStyle="1">
    <w:name w:val="Bordered - Accent 1"/>
    <w:uiPriority w:val="99"/>
    <w:qFormat/>
    <w:rPr>
      <w:rFonts w:ascii="Calibri" w:hAnsi="Calibri"/>
    </w:rPr>
    <w:tblPr>
      <w:tblCellMar>
        <w:left w:w="0" w:type="dxa"/>
        <w:top w:w="0" w:type="dxa"/>
        <w:right w:w="0" w:type="dxa"/>
        <w:bottom w:w="0" w:type="dxa"/>
      </w:tblCellMar>
    </w:tblPr>
  </w:style>
  <w:style w:type="table" w:styleId="1129" w:customStyle="1">
    <w:name w:val="Bordered - Accent 2"/>
    <w:uiPriority w:val="99"/>
    <w:qFormat/>
    <w:rPr>
      <w:rFonts w:ascii="Calibri" w:hAnsi="Calibri"/>
    </w:rPr>
    <w:tblPr>
      <w:tblCellMar>
        <w:left w:w="0" w:type="dxa"/>
        <w:top w:w="0" w:type="dxa"/>
        <w:right w:w="0" w:type="dxa"/>
        <w:bottom w:w="0" w:type="dxa"/>
      </w:tblCellMar>
    </w:tblPr>
  </w:style>
  <w:style w:type="table" w:styleId="1130" w:customStyle="1">
    <w:name w:val="Bordered - Accent 3"/>
    <w:uiPriority w:val="99"/>
    <w:qFormat/>
    <w:rPr>
      <w:rFonts w:ascii="Calibri" w:hAnsi="Calibri"/>
    </w:rPr>
    <w:tblPr>
      <w:tblCellMar>
        <w:left w:w="0" w:type="dxa"/>
        <w:top w:w="0" w:type="dxa"/>
        <w:right w:w="0" w:type="dxa"/>
        <w:bottom w:w="0" w:type="dxa"/>
      </w:tblCellMar>
    </w:tblPr>
  </w:style>
  <w:style w:type="table" w:styleId="1131" w:customStyle="1">
    <w:name w:val="Bordered - Accent 4"/>
    <w:uiPriority w:val="99"/>
    <w:qFormat/>
    <w:rPr>
      <w:rFonts w:ascii="Calibri" w:hAnsi="Calibri"/>
    </w:rPr>
    <w:tblPr>
      <w:tblCellMar>
        <w:left w:w="0" w:type="dxa"/>
        <w:top w:w="0" w:type="dxa"/>
        <w:right w:w="0" w:type="dxa"/>
        <w:bottom w:w="0" w:type="dxa"/>
      </w:tblCellMar>
    </w:tblPr>
  </w:style>
  <w:style w:type="table" w:styleId="1132" w:customStyle="1">
    <w:name w:val="Bordered - Accent 5"/>
    <w:uiPriority w:val="99"/>
    <w:qFormat/>
    <w:rPr>
      <w:rFonts w:ascii="Calibri" w:hAnsi="Calibri"/>
    </w:rPr>
    <w:tblPr>
      <w:tblCellMar>
        <w:left w:w="0" w:type="dxa"/>
        <w:top w:w="0" w:type="dxa"/>
        <w:right w:w="0" w:type="dxa"/>
        <w:bottom w:w="0" w:type="dxa"/>
      </w:tblCellMar>
    </w:tblPr>
  </w:style>
  <w:style w:type="table" w:styleId="1133" w:customStyle="1">
    <w:name w:val="Bordered - Accent 6"/>
    <w:uiPriority w:val="99"/>
    <w:qFormat/>
    <w:rPr>
      <w:rFonts w:ascii="Calibri" w:hAnsi="Calibri"/>
    </w:rPr>
    <w:tblPr>
      <w:tblCellMar>
        <w:left w:w="0" w:type="dxa"/>
        <w:top w:w="0" w:type="dxa"/>
        <w:right w:w="0" w:type="dxa"/>
        <w:bottom w:w="0" w:type="dxa"/>
      </w:tblCellMar>
    </w:tblPr>
  </w:style>
  <w:style w:type="paragraph" w:styleId="1134" w:customStyle="1">
    <w:name w:val="TOC 标题1"/>
    <w:uiPriority w:val="39"/>
    <w:unhideWhenUsed/>
    <w:qFormat/>
    <w:rPr>
      <w:rFonts w:ascii="Calibri" w:hAnsi="Calibri" w:eastAsia="宋体" w:cs="Times New Roman"/>
      <w:lang w:val="en-US" w:eastAsia="zh-CN" w:bidi="ar-SA"/>
    </w:rPr>
  </w:style>
  <w:style w:type="paragraph" w:styleId="1135" w:customStyle="1">
    <w:name w:val="标题 11"/>
    <w:basedOn w:val="811"/>
    <w:next w:val="811"/>
    <w:link w:val="1136"/>
    <w:uiPriority w:val="0"/>
    <w:qFormat/>
    <w:pPr>
      <w:jc w:val="center"/>
      <w:keepNext/>
      <w:outlineLvl w:val="0"/>
    </w:pPr>
    <w:rPr>
      <w:rFonts w:ascii="楷体_GB2312" w:hAnsi="Times New Roman" w:eastAsia="楷体_GB2312"/>
      <w:sz w:val="28"/>
      <w:szCs w:val="28"/>
      <w:lang w:eastAsia="en-US"/>
    </w:rPr>
  </w:style>
  <w:style w:type="character" w:styleId="1136" w:customStyle="1">
    <w:name w:val="标题 1 Char"/>
    <w:link w:val="1135"/>
    <w:uiPriority w:val="0"/>
    <w:qFormat/>
    <w:rPr>
      <w:rFonts w:ascii="楷体_GB2312" w:hAnsi="Times New Roman" w:eastAsia="楷体_GB2312" w:cs="Times New Roman"/>
      <w:sz w:val="28"/>
      <w:szCs w:val="28"/>
      <w:lang w:eastAsia="en-US"/>
    </w:rPr>
  </w:style>
  <w:style w:type="paragraph" w:styleId="1137" w:customStyle="1">
    <w:name w:val="标题 21"/>
    <w:basedOn w:val="811"/>
    <w:next w:val="1138"/>
    <w:link w:val="113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38" w:customStyle="1">
    <w:name w:val="正文缩进1"/>
    <w:basedOn w:val="811"/>
    <w:link w:val="1140"/>
    <w:uiPriority w:val="0"/>
    <w:qFormat/>
    <w:pPr>
      <w:ind w:firstLine="420"/>
    </w:pPr>
    <w:rPr>
      <w:rFonts w:ascii="Times New Roman" w:hAnsi="Times New Roman" w:eastAsia="宋体"/>
      <w:sz w:val="20"/>
      <w:szCs w:val="21"/>
      <w:lang w:eastAsia="en-US"/>
    </w:rPr>
  </w:style>
  <w:style w:type="character" w:styleId="1139" w:customStyle="1">
    <w:name w:val="标题 2 Char"/>
    <w:link w:val="1137"/>
    <w:uiPriority w:val="0"/>
    <w:qFormat/>
    <w:rPr>
      <w:rFonts w:ascii="Arial" w:hAnsi="Arial" w:eastAsia="幼圆" w:cs="Times New Roman"/>
      <w:b/>
      <w:bCs/>
      <w:sz w:val="44"/>
      <w:szCs w:val="44"/>
      <w:lang w:eastAsia="en-US"/>
    </w:rPr>
  </w:style>
  <w:style w:type="character" w:styleId="1140" w:customStyle="1">
    <w:name w:val="正文缩进 Char"/>
    <w:link w:val="1138"/>
    <w:uiPriority w:val="0"/>
    <w:qFormat/>
    <w:rPr>
      <w:rFonts w:ascii="Times New Roman" w:hAnsi="Times New Roman" w:eastAsia="宋体" w:cs="Times New Roman"/>
      <w:szCs w:val="21"/>
      <w:lang w:eastAsia="en-US"/>
    </w:rPr>
  </w:style>
  <w:style w:type="paragraph" w:styleId="1141" w:customStyle="1">
    <w:name w:val="标题 41"/>
    <w:basedOn w:val="811"/>
    <w:next w:val="1138"/>
    <w:link w:val="1142"/>
    <w:uiPriority w:val="0"/>
    <w:qFormat/>
    <w:pPr>
      <w:keepLines/>
      <w:keepNext/>
      <w:spacing w:before="280" w:after="290" w:line="376" w:lineRule="auto"/>
      <w:outlineLvl w:val="3"/>
    </w:pPr>
    <w:rPr>
      <w:rFonts w:ascii="Arial" w:hAnsi="Arial" w:eastAsia="黑体"/>
      <w:b/>
      <w:bCs/>
      <w:sz w:val="28"/>
      <w:szCs w:val="28"/>
      <w:lang w:eastAsia="en-US"/>
    </w:rPr>
  </w:style>
  <w:style w:type="character" w:styleId="1142" w:customStyle="1">
    <w:name w:val="标题 4 Char"/>
    <w:link w:val="1141"/>
    <w:uiPriority w:val="0"/>
    <w:qFormat/>
    <w:rPr>
      <w:rFonts w:ascii="Arial" w:hAnsi="Arial" w:eastAsia="黑体" w:cs="Times New Roman"/>
      <w:b/>
      <w:bCs/>
      <w:sz w:val="28"/>
      <w:szCs w:val="28"/>
      <w:lang w:eastAsia="en-US"/>
    </w:rPr>
  </w:style>
  <w:style w:type="paragraph" w:styleId="1143" w:customStyle="1">
    <w:name w:val="标题 51"/>
    <w:basedOn w:val="811"/>
    <w:next w:val="1138"/>
    <w:link w:val="1144"/>
    <w:uiPriority w:val="0"/>
    <w:qFormat/>
    <w:pPr>
      <w:keepNext/>
      <w:outlineLvl w:val="4"/>
    </w:pPr>
    <w:rPr>
      <w:rFonts w:ascii="宋体" w:hAnsi="Times New Roman" w:eastAsia="宋体"/>
      <w:color w:val="000000"/>
      <w:sz w:val="28"/>
      <w:szCs w:val="28"/>
      <w:lang w:eastAsia="en-US"/>
    </w:rPr>
  </w:style>
  <w:style w:type="character" w:styleId="1144" w:customStyle="1">
    <w:name w:val="标题 5 Char"/>
    <w:link w:val="1143"/>
    <w:uiPriority w:val="0"/>
    <w:qFormat/>
    <w:rPr>
      <w:rFonts w:ascii="宋体" w:hAnsi="Times New Roman" w:eastAsia="宋体" w:cs="Times New Roman"/>
      <w:color w:val="000000"/>
      <w:sz w:val="28"/>
      <w:szCs w:val="28"/>
      <w:lang w:eastAsia="en-US"/>
    </w:rPr>
  </w:style>
  <w:style w:type="paragraph" w:styleId="1145" w:customStyle="1">
    <w:name w:val="标题 61"/>
    <w:basedOn w:val="811"/>
    <w:next w:val="811"/>
    <w:link w:val="1146"/>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46" w:customStyle="1">
    <w:name w:val="标题 6 Char"/>
    <w:link w:val="1145"/>
    <w:uiPriority w:val="0"/>
    <w:qFormat/>
    <w:rPr>
      <w:rFonts w:ascii="Arial" w:hAnsi="Arial" w:eastAsia="黑体" w:cs="Times New Roman"/>
      <w:b/>
      <w:bCs/>
      <w:sz w:val="24"/>
      <w:szCs w:val="24"/>
      <w:lang w:eastAsia="en-US"/>
    </w:rPr>
  </w:style>
  <w:style w:type="paragraph" w:styleId="1147" w:customStyle="1">
    <w:name w:val="标题 71"/>
    <w:basedOn w:val="811"/>
    <w:next w:val="811"/>
    <w:link w:val="1148"/>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48" w:customStyle="1">
    <w:name w:val="标题 7 Char"/>
    <w:link w:val="1147"/>
    <w:uiPriority w:val="0"/>
    <w:qFormat/>
    <w:rPr>
      <w:rFonts w:ascii="Times New Roman" w:hAnsi="Times New Roman" w:eastAsia="宋体" w:cs="Times New Roman"/>
      <w:b/>
      <w:bCs/>
      <w:sz w:val="24"/>
      <w:szCs w:val="24"/>
      <w:lang w:eastAsia="en-US"/>
    </w:rPr>
  </w:style>
  <w:style w:type="paragraph" w:styleId="1149" w:customStyle="1">
    <w:name w:val="标题 81"/>
    <w:basedOn w:val="811"/>
    <w:next w:val="811"/>
    <w:link w:val="1150"/>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50" w:customStyle="1">
    <w:name w:val="标题 8 Char"/>
    <w:link w:val="1149"/>
    <w:uiPriority w:val="0"/>
    <w:qFormat/>
    <w:rPr>
      <w:rFonts w:ascii="Arial" w:hAnsi="Arial" w:eastAsia="黑体" w:cs="Times New Roman"/>
      <w:sz w:val="24"/>
      <w:szCs w:val="24"/>
      <w:lang w:eastAsia="en-US"/>
    </w:rPr>
  </w:style>
  <w:style w:type="paragraph" w:styleId="1151" w:customStyle="1">
    <w:name w:val="标题 91"/>
    <w:basedOn w:val="811"/>
    <w:next w:val="811"/>
    <w:link w:val="1152"/>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52" w:customStyle="1">
    <w:name w:val="标题 9 Char"/>
    <w:link w:val="1151"/>
    <w:uiPriority w:val="0"/>
    <w:qFormat/>
    <w:rPr>
      <w:rFonts w:ascii="Arial" w:hAnsi="Arial" w:eastAsia="黑体" w:cs="Times New Roman"/>
      <w:szCs w:val="21"/>
      <w:lang w:eastAsia="en-US"/>
    </w:rPr>
  </w:style>
  <w:style w:type="character" w:styleId="1153" w:customStyle="1">
    <w:name w:val="默认段落字体1"/>
    <w:uiPriority w:val="1"/>
    <w:unhideWhenUsed/>
    <w:qFormat/>
  </w:style>
  <w:style w:type="table" w:styleId="1154"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55" w:customStyle="1">
    <w:name w:val="列表 31"/>
    <w:basedOn w:val="811"/>
    <w:uiPriority w:val="0"/>
    <w:qFormat/>
    <w:pPr>
      <w:ind w:left="100" w:hanging="200"/>
    </w:pPr>
    <w:rPr>
      <w:rFonts w:ascii="Times New Roman" w:hAnsi="Times New Roman" w:eastAsia="宋体"/>
      <w:szCs w:val="21"/>
    </w:rPr>
  </w:style>
  <w:style w:type="paragraph" w:styleId="1156" w:customStyle="1">
    <w:name w:val="目录 711"/>
    <w:basedOn w:val="811"/>
    <w:next w:val="811"/>
    <w:uiPriority w:val="0"/>
    <w:semiHidden/>
    <w:qFormat/>
    <w:pPr>
      <w:ind w:left="1260"/>
      <w:jc w:val="left"/>
    </w:pPr>
    <w:rPr>
      <w:rFonts w:ascii="Times New Roman" w:hAnsi="Times New Roman" w:eastAsia="宋体"/>
      <w:szCs w:val="21"/>
    </w:rPr>
  </w:style>
  <w:style w:type="paragraph" w:styleId="1157" w:customStyle="1">
    <w:name w:val="文档结构图1"/>
    <w:basedOn w:val="811"/>
    <w:link w:val="1158"/>
    <w:uiPriority w:val="0"/>
    <w:semiHidden/>
    <w:qFormat/>
    <w:pPr>
      <w:shd w:val="clear" w:color="auto" w:fill="000080"/>
    </w:pPr>
    <w:rPr>
      <w:rFonts w:ascii="Times New Roman" w:hAnsi="Times New Roman" w:eastAsia="宋体"/>
      <w:sz w:val="20"/>
      <w:szCs w:val="21"/>
      <w:lang w:eastAsia="en-US"/>
    </w:rPr>
  </w:style>
  <w:style w:type="character" w:styleId="1158" w:customStyle="1">
    <w:name w:val="文档结构图 Char"/>
    <w:link w:val="1157"/>
    <w:uiPriority w:val="0"/>
    <w:semiHidden/>
    <w:qFormat/>
    <w:rPr>
      <w:rFonts w:ascii="Times New Roman" w:hAnsi="Times New Roman" w:eastAsia="宋体" w:cs="Times New Roman"/>
      <w:szCs w:val="21"/>
      <w:shd w:val="clear" w:color="auto" w:fill="000080"/>
      <w:lang w:eastAsia="en-US"/>
    </w:rPr>
  </w:style>
  <w:style w:type="paragraph" w:styleId="1159" w:customStyle="1">
    <w:name w:val="批注文字1"/>
    <w:basedOn w:val="811"/>
    <w:link w:val="1160"/>
    <w:uiPriority w:val="0"/>
    <w:semiHidden/>
    <w:qFormat/>
    <w:pPr>
      <w:jc w:val="left"/>
    </w:pPr>
    <w:rPr>
      <w:rFonts w:ascii="Times New Roman" w:hAnsi="Times New Roman" w:eastAsia="宋体"/>
      <w:sz w:val="20"/>
      <w:szCs w:val="21"/>
      <w:lang w:eastAsia="en-US"/>
    </w:rPr>
  </w:style>
  <w:style w:type="character" w:styleId="1160" w:customStyle="1">
    <w:name w:val="批注文字 Char"/>
    <w:link w:val="1159"/>
    <w:uiPriority w:val="0"/>
    <w:semiHidden/>
    <w:qFormat/>
    <w:rPr>
      <w:rFonts w:ascii="Times New Roman" w:hAnsi="Times New Roman" w:eastAsia="宋体" w:cs="Times New Roman"/>
      <w:szCs w:val="21"/>
      <w:lang w:eastAsia="en-US"/>
    </w:rPr>
  </w:style>
  <w:style w:type="paragraph" w:styleId="1161" w:customStyle="1">
    <w:name w:val="正文文本 31"/>
    <w:basedOn w:val="811"/>
    <w:link w:val="1162"/>
    <w:uiPriority w:val="0"/>
    <w:qFormat/>
    <w:rPr>
      <w:rFonts w:ascii="仿宋_GB2312" w:hAnsi="Arial" w:eastAsia="仿宋_GB2312"/>
      <w:sz w:val="32"/>
      <w:szCs w:val="32"/>
      <w:lang w:eastAsia="en-US"/>
    </w:rPr>
  </w:style>
  <w:style w:type="character" w:styleId="1162" w:customStyle="1">
    <w:name w:val="正文文本 3 Char"/>
    <w:link w:val="1161"/>
    <w:uiPriority w:val="0"/>
    <w:qFormat/>
    <w:rPr>
      <w:rFonts w:ascii="仿宋_GB2312" w:hAnsi="Arial" w:eastAsia="仿宋_GB2312" w:cs="Times New Roman"/>
      <w:sz w:val="32"/>
      <w:szCs w:val="32"/>
      <w:lang w:eastAsia="en-US"/>
    </w:rPr>
  </w:style>
  <w:style w:type="paragraph" w:styleId="1163" w:customStyle="1">
    <w:name w:val="正文文本1"/>
    <w:basedOn w:val="811"/>
    <w:next w:val="811"/>
    <w:link w:val="1164"/>
    <w:uiPriority w:val="0"/>
    <w:qFormat/>
    <w:rPr>
      <w:rFonts w:ascii="楷体_GB2312" w:hAnsi="Arial" w:eastAsia="楷体_GB2312"/>
      <w:sz w:val="28"/>
      <w:szCs w:val="28"/>
      <w:lang w:eastAsia="en-US"/>
    </w:rPr>
  </w:style>
  <w:style w:type="character" w:styleId="1164" w:customStyle="1">
    <w:name w:val="正文文本 Char"/>
    <w:link w:val="1163"/>
    <w:uiPriority w:val="0"/>
    <w:qFormat/>
    <w:rPr>
      <w:rFonts w:ascii="楷体_GB2312" w:hAnsi="Arial" w:eastAsia="楷体_GB2312" w:cs="Times New Roman"/>
      <w:sz w:val="28"/>
      <w:szCs w:val="28"/>
      <w:lang w:eastAsia="en-US"/>
    </w:rPr>
  </w:style>
  <w:style w:type="paragraph" w:styleId="1165" w:customStyle="1">
    <w:name w:val="正文文本缩进1"/>
    <w:basedOn w:val="811"/>
    <w:link w:val="1166"/>
    <w:uiPriority w:val="0"/>
    <w:qFormat/>
    <w:pPr>
      <w:ind w:firstLine="645"/>
    </w:pPr>
    <w:rPr>
      <w:rFonts w:ascii="楷体_GB2312" w:hAnsi="Times New Roman" w:eastAsia="楷体_GB2312"/>
      <w:sz w:val="32"/>
      <w:szCs w:val="32"/>
      <w:lang w:eastAsia="en-US"/>
    </w:rPr>
  </w:style>
  <w:style w:type="character" w:styleId="1166" w:customStyle="1">
    <w:name w:val="正文文本缩进 Char"/>
    <w:link w:val="1165"/>
    <w:uiPriority w:val="0"/>
    <w:qFormat/>
    <w:rPr>
      <w:rFonts w:ascii="楷体_GB2312" w:hAnsi="Times New Roman" w:eastAsia="楷体_GB2312" w:cs="Times New Roman"/>
      <w:sz w:val="32"/>
      <w:szCs w:val="32"/>
      <w:lang w:eastAsia="en-US"/>
    </w:rPr>
  </w:style>
  <w:style w:type="paragraph" w:styleId="1167" w:customStyle="1">
    <w:name w:val="列表 21"/>
    <w:basedOn w:val="811"/>
    <w:uiPriority w:val="0"/>
    <w:qFormat/>
    <w:pPr>
      <w:ind w:left="100" w:hanging="200"/>
    </w:pPr>
    <w:rPr>
      <w:rFonts w:ascii="Times New Roman" w:hAnsi="Times New Roman" w:eastAsia="宋体"/>
      <w:szCs w:val="21"/>
    </w:rPr>
  </w:style>
  <w:style w:type="paragraph" w:styleId="1168" w:customStyle="1">
    <w:name w:val="目录 511"/>
    <w:basedOn w:val="811"/>
    <w:next w:val="811"/>
    <w:uiPriority w:val="0"/>
    <w:semiHidden/>
    <w:qFormat/>
    <w:pPr>
      <w:ind w:left="840"/>
      <w:jc w:val="left"/>
    </w:pPr>
    <w:rPr>
      <w:rFonts w:ascii="Times New Roman" w:hAnsi="Times New Roman" w:eastAsia="宋体"/>
      <w:szCs w:val="21"/>
    </w:rPr>
  </w:style>
  <w:style w:type="paragraph" w:styleId="1169" w:customStyle="1">
    <w:name w:val="目录 311"/>
    <w:basedOn w:val="811"/>
    <w:next w:val="811"/>
    <w:uiPriority w:val="0"/>
    <w:semiHidden/>
    <w:qFormat/>
    <w:pPr>
      <w:ind w:left="420"/>
      <w:jc w:val="left"/>
    </w:pPr>
    <w:rPr>
      <w:rFonts w:ascii="Times New Roman" w:hAnsi="Times New Roman" w:eastAsia="宋体"/>
      <w:i/>
      <w:iCs/>
      <w:szCs w:val="24"/>
    </w:rPr>
  </w:style>
  <w:style w:type="paragraph" w:styleId="1170" w:customStyle="1">
    <w:name w:val="纯文本1"/>
    <w:basedOn w:val="811"/>
    <w:link w:val="1171"/>
    <w:uiPriority w:val="0"/>
    <w:qFormat/>
    <w:rPr>
      <w:rFonts w:ascii="宋体" w:hAnsi="Courier New" w:eastAsia="宋体"/>
      <w:sz w:val="20"/>
      <w:szCs w:val="21"/>
      <w:lang w:eastAsia="en-US"/>
    </w:rPr>
  </w:style>
  <w:style w:type="character" w:styleId="1171" w:customStyle="1">
    <w:name w:val="纯文本 Char"/>
    <w:link w:val="1170"/>
    <w:uiPriority w:val="0"/>
    <w:qFormat/>
    <w:rPr>
      <w:rFonts w:ascii="宋体" w:hAnsi="Courier New" w:eastAsia="宋体" w:cs="Times New Roman"/>
      <w:szCs w:val="21"/>
      <w:lang w:eastAsia="en-US"/>
    </w:rPr>
  </w:style>
  <w:style w:type="paragraph" w:styleId="1172" w:customStyle="1">
    <w:name w:val="目录 811"/>
    <w:basedOn w:val="811"/>
    <w:next w:val="811"/>
    <w:uiPriority w:val="0"/>
    <w:semiHidden/>
    <w:qFormat/>
    <w:pPr>
      <w:ind w:left="1470"/>
      <w:jc w:val="left"/>
    </w:pPr>
    <w:rPr>
      <w:rFonts w:ascii="Times New Roman" w:hAnsi="Times New Roman" w:eastAsia="宋体"/>
      <w:szCs w:val="21"/>
    </w:rPr>
  </w:style>
  <w:style w:type="paragraph" w:styleId="1173" w:customStyle="1">
    <w:name w:val="日期1"/>
    <w:basedOn w:val="811"/>
    <w:next w:val="811"/>
    <w:link w:val="1174"/>
    <w:uiPriority w:val="0"/>
    <w:qFormat/>
    <w:rPr>
      <w:rFonts w:ascii="Times New Roman" w:hAnsi="Times New Roman" w:eastAsia="宋体"/>
      <w:sz w:val="24"/>
      <w:szCs w:val="24"/>
      <w:lang w:eastAsia="en-US"/>
    </w:rPr>
  </w:style>
  <w:style w:type="character" w:styleId="1174" w:customStyle="1">
    <w:name w:val="日期 Char"/>
    <w:link w:val="1173"/>
    <w:uiPriority w:val="0"/>
    <w:qFormat/>
    <w:rPr>
      <w:rFonts w:ascii="Times New Roman" w:hAnsi="Times New Roman" w:eastAsia="宋体" w:cs="Times New Roman"/>
      <w:sz w:val="24"/>
      <w:szCs w:val="24"/>
      <w:lang w:eastAsia="en-US"/>
    </w:rPr>
  </w:style>
  <w:style w:type="paragraph" w:styleId="1175" w:customStyle="1">
    <w:name w:val="正文文本缩进 21"/>
    <w:basedOn w:val="811"/>
    <w:link w:val="1176"/>
    <w:uiPriority w:val="0"/>
    <w:qFormat/>
    <w:pPr>
      <w:ind w:left="630" w:firstLine="645"/>
    </w:pPr>
    <w:rPr>
      <w:rFonts w:ascii="Arial" w:hAnsi="Arial" w:eastAsia="仿宋_GB2312"/>
      <w:sz w:val="32"/>
      <w:szCs w:val="32"/>
      <w:lang w:eastAsia="en-US"/>
    </w:rPr>
  </w:style>
  <w:style w:type="character" w:styleId="1176" w:customStyle="1">
    <w:name w:val="正文文本缩进 2 Char"/>
    <w:link w:val="1175"/>
    <w:uiPriority w:val="0"/>
    <w:qFormat/>
    <w:rPr>
      <w:rFonts w:ascii="Arial" w:hAnsi="Arial" w:eastAsia="仿宋_GB2312" w:cs="Times New Roman"/>
      <w:sz w:val="32"/>
      <w:szCs w:val="32"/>
      <w:lang w:eastAsia="en-US"/>
    </w:rPr>
  </w:style>
  <w:style w:type="paragraph" w:styleId="1177" w:customStyle="1">
    <w:name w:val="批注框文本1"/>
    <w:basedOn w:val="811"/>
    <w:link w:val="1178"/>
    <w:uiPriority w:val="0"/>
    <w:semiHidden/>
    <w:qFormat/>
    <w:rPr>
      <w:rFonts w:ascii="Times New Roman" w:hAnsi="Times New Roman" w:eastAsia="宋体"/>
      <w:sz w:val="18"/>
      <w:szCs w:val="18"/>
      <w:lang w:eastAsia="en-US"/>
    </w:rPr>
  </w:style>
  <w:style w:type="character" w:styleId="1178" w:customStyle="1">
    <w:name w:val="批注框文本 Char"/>
    <w:link w:val="1177"/>
    <w:uiPriority w:val="0"/>
    <w:semiHidden/>
    <w:qFormat/>
    <w:rPr>
      <w:rFonts w:ascii="Times New Roman" w:hAnsi="Times New Roman" w:eastAsia="宋体" w:cs="Times New Roman"/>
      <w:sz w:val="18"/>
      <w:szCs w:val="18"/>
      <w:lang w:eastAsia="en-US"/>
    </w:rPr>
  </w:style>
  <w:style w:type="paragraph" w:styleId="1179" w:customStyle="1">
    <w:name w:val="页脚1"/>
    <w:basedOn w:val="811"/>
    <w:link w:val="1180"/>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80" w:customStyle="1">
    <w:name w:val="页脚 Char"/>
    <w:link w:val="1179"/>
    <w:uiPriority w:val="0"/>
    <w:qFormat/>
    <w:rPr>
      <w:rFonts w:ascii="Times New Roman" w:hAnsi="Times New Roman" w:eastAsia="宋体" w:cs="Times New Roman"/>
      <w:sz w:val="18"/>
      <w:szCs w:val="18"/>
      <w:lang w:eastAsia="en-US"/>
    </w:rPr>
  </w:style>
  <w:style w:type="paragraph" w:styleId="1181" w:customStyle="1">
    <w:name w:val="页眉1"/>
    <w:basedOn w:val="811"/>
    <w:link w:val="1182"/>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82" w:customStyle="1">
    <w:name w:val="页眉 Char"/>
    <w:link w:val="1181"/>
    <w:uiPriority w:val="99"/>
    <w:qFormat/>
    <w:rPr>
      <w:rFonts w:ascii="Times New Roman" w:hAnsi="Times New Roman" w:eastAsia="宋体" w:cs="Times New Roman"/>
      <w:sz w:val="18"/>
      <w:szCs w:val="18"/>
      <w:lang w:eastAsia="en-US"/>
    </w:rPr>
  </w:style>
  <w:style w:type="paragraph" w:styleId="1183" w:customStyle="1">
    <w:name w:val="目录 1111"/>
    <w:basedOn w:val="811"/>
    <w:next w:val="811"/>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84" w:customStyle="1">
    <w:name w:val="目录 411"/>
    <w:basedOn w:val="811"/>
    <w:next w:val="811"/>
    <w:uiPriority w:val="0"/>
    <w:semiHidden/>
    <w:qFormat/>
    <w:pPr>
      <w:ind w:left="630"/>
      <w:jc w:val="left"/>
    </w:pPr>
    <w:rPr>
      <w:rFonts w:ascii="Times New Roman" w:hAnsi="Times New Roman" w:eastAsia="宋体"/>
      <w:szCs w:val="21"/>
    </w:rPr>
  </w:style>
  <w:style w:type="paragraph" w:styleId="1185" w:customStyle="1">
    <w:name w:val="列表1"/>
    <w:basedOn w:val="811"/>
    <w:uiPriority w:val="0"/>
    <w:qFormat/>
    <w:pPr>
      <w:ind w:left="200" w:hanging="200"/>
    </w:pPr>
    <w:rPr>
      <w:rFonts w:ascii="Times New Roman" w:hAnsi="Times New Roman" w:eastAsia="宋体"/>
      <w:szCs w:val="21"/>
    </w:rPr>
  </w:style>
  <w:style w:type="paragraph" w:styleId="1186" w:customStyle="1">
    <w:name w:val="目录 611"/>
    <w:basedOn w:val="811"/>
    <w:next w:val="811"/>
    <w:uiPriority w:val="0"/>
    <w:semiHidden/>
    <w:qFormat/>
    <w:pPr>
      <w:ind w:left="1050"/>
      <w:jc w:val="left"/>
    </w:pPr>
    <w:rPr>
      <w:rFonts w:ascii="Times New Roman" w:hAnsi="Times New Roman" w:eastAsia="宋体"/>
      <w:szCs w:val="21"/>
    </w:rPr>
  </w:style>
  <w:style w:type="paragraph" w:styleId="1187" w:customStyle="1">
    <w:name w:val="正文文本缩进 31"/>
    <w:basedOn w:val="811"/>
    <w:link w:val="1188"/>
    <w:uiPriority w:val="0"/>
    <w:qFormat/>
    <w:pPr>
      <w:ind w:left="645" w:firstLine="645"/>
    </w:pPr>
    <w:rPr>
      <w:rFonts w:ascii="Arial" w:hAnsi="Arial" w:eastAsia="仿宋_GB2312"/>
      <w:color w:val="ffff00"/>
      <w:sz w:val="32"/>
      <w:szCs w:val="32"/>
      <w:lang w:eastAsia="en-US"/>
    </w:rPr>
  </w:style>
  <w:style w:type="character" w:styleId="1188" w:customStyle="1">
    <w:name w:val="正文文本缩进 3 Char"/>
    <w:link w:val="1187"/>
    <w:uiPriority w:val="0"/>
    <w:qFormat/>
    <w:rPr>
      <w:rFonts w:ascii="Arial" w:hAnsi="Arial" w:eastAsia="仿宋_GB2312" w:cs="Times New Roman"/>
      <w:color w:val="ffff00"/>
      <w:sz w:val="32"/>
      <w:szCs w:val="32"/>
      <w:lang w:eastAsia="en-US"/>
    </w:rPr>
  </w:style>
  <w:style w:type="paragraph" w:styleId="1189" w:customStyle="1">
    <w:name w:val="图表目录1"/>
    <w:basedOn w:val="811"/>
    <w:next w:val="811"/>
    <w:uiPriority w:val="0"/>
    <w:semiHidden/>
    <w:qFormat/>
    <w:pPr>
      <w:ind w:left="840" w:hanging="420"/>
    </w:pPr>
    <w:rPr>
      <w:rFonts w:ascii="Times New Roman" w:hAnsi="Times New Roman" w:eastAsia="宋体"/>
      <w:szCs w:val="21"/>
    </w:rPr>
  </w:style>
  <w:style w:type="paragraph" w:styleId="1190" w:customStyle="1">
    <w:name w:val="目录 211"/>
    <w:basedOn w:val="811"/>
    <w:next w:val="811"/>
    <w:uiPriority w:val="0"/>
    <w:semiHidden/>
    <w:qFormat/>
    <w:pPr>
      <w:ind w:left="210"/>
      <w:jc w:val="left"/>
    </w:pPr>
    <w:rPr>
      <w:rFonts w:ascii="Times New Roman" w:hAnsi="Times New Roman" w:eastAsia="宋体"/>
      <w:smallCaps/>
      <w:szCs w:val="24"/>
    </w:rPr>
  </w:style>
  <w:style w:type="paragraph" w:styleId="1191" w:customStyle="1">
    <w:name w:val="目录 911"/>
    <w:basedOn w:val="811"/>
    <w:next w:val="811"/>
    <w:uiPriority w:val="0"/>
    <w:semiHidden/>
    <w:qFormat/>
    <w:pPr>
      <w:ind w:left="1680"/>
      <w:jc w:val="left"/>
    </w:pPr>
    <w:rPr>
      <w:rFonts w:ascii="Times New Roman" w:hAnsi="Times New Roman" w:eastAsia="宋体"/>
      <w:szCs w:val="21"/>
    </w:rPr>
  </w:style>
  <w:style w:type="paragraph" w:styleId="1192" w:customStyle="1">
    <w:name w:val="正文文本 21"/>
    <w:basedOn w:val="811"/>
    <w:link w:val="1193"/>
    <w:uiPriority w:val="0"/>
    <w:qFormat/>
    <w:pPr>
      <w:jc w:val="center"/>
      <w:widowControl/>
    </w:pPr>
    <w:rPr>
      <w:rFonts w:ascii="楷体_GB2312" w:hAnsi="Times New Roman" w:eastAsia="楷体_GB2312"/>
      <w:sz w:val="28"/>
      <w:szCs w:val="28"/>
      <w:lang w:eastAsia="en-US"/>
    </w:rPr>
  </w:style>
  <w:style w:type="character" w:styleId="1193" w:customStyle="1">
    <w:name w:val="正文文本 2 Char"/>
    <w:link w:val="1192"/>
    <w:uiPriority w:val="0"/>
    <w:qFormat/>
    <w:rPr>
      <w:rFonts w:ascii="楷体_GB2312" w:hAnsi="Times New Roman" w:eastAsia="楷体_GB2312" w:cs="Times New Roman"/>
      <w:sz w:val="28"/>
      <w:szCs w:val="28"/>
      <w:lang w:eastAsia="en-US"/>
    </w:rPr>
  </w:style>
  <w:style w:type="paragraph" w:styleId="1194" w:customStyle="1">
    <w:name w:val="普通(网站)1"/>
    <w:basedOn w:val="811"/>
    <w:uiPriority w:val="99"/>
    <w:qFormat/>
    <w:pPr>
      <w:jc w:val="left"/>
      <w:spacing w:before="100" w:beforeAutospacing="1" w:after="100" w:afterAutospacing="1"/>
      <w:widowControl/>
    </w:pPr>
    <w:rPr>
      <w:rFonts w:ascii="宋体" w:hAnsi="宋体" w:eastAsia="宋体" w:cs="宋体"/>
      <w:sz w:val="24"/>
      <w:szCs w:val="24"/>
    </w:rPr>
  </w:style>
  <w:style w:type="paragraph" w:styleId="1195" w:customStyle="1">
    <w:name w:val="索引 11"/>
    <w:basedOn w:val="811"/>
    <w:next w:val="811"/>
    <w:uiPriority w:val="0"/>
    <w:semiHidden/>
    <w:qFormat/>
    <w:pPr>
      <w:spacing w:line="240" w:lineRule="atLeast"/>
    </w:pPr>
    <w:rPr>
      <w:rFonts w:ascii="Times New Roman" w:hAnsi="Times New Roman" w:eastAsia="宋体"/>
      <w:b/>
      <w:bCs/>
      <w:szCs w:val="21"/>
    </w:rPr>
  </w:style>
  <w:style w:type="paragraph" w:styleId="1196" w:customStyle="1">
    <w:name w:val="批注主题1"/>
    <w:basedOn w:val="1159"/>
    <w:next w:val="1159"/>
    <w:link w:val="1197"/>
    <w:uiPriority w:val="0"/>
    <w:semiHidden/>
    <w:qFormat/>
    <w:rPr>
      <w:b/>
      <w:bCs/>
    </w:rPr>
  </w:style>
  <w:style w:type="character" w:styleId="1197" w:customStyle="1">
    <w:name w:val="批注主题 Char"/>
    <w:link w:val="1196"/>
    <w:uiPriority w:val="0"/>
    <w:semiHidden/>
    <w:qFormat/>
    <w:rPr>
      <w:rFonts w:ascii="Times New Roman" w:hAnsi="Times New Roman" w:eastAsia="宋体" w:cs="Times New Roman"/>
      <w:b/>
      <w:bCs/>
      <w:szCs w:val="21"/>
      <w:lang w:eastAsia="en-US"/>
    </w:rPr>
  </w:style>
  <w:style w:type="paragraph" w:styleId="1198" w:customStyle="1">
    <w:name w:val="正文首行缩进1"/>
    <w:basedOn w:val="811"/>
    <w:link w:val="1199"/>
    <w:uiPriority w:val="0"/>
    <w:qFormat/>
    <w:pPr>
      <w:ind w:firstLine="200"/>
      <w:spacing w:line="360" w:lineRule="auto"/>
    </w:pPr>
    <w:rPr>
      <w:rFonts w:ascii="仿宋_GB2312" w:hAnsi="Times New Roman" w:eastAsia="仿宋_GB2312"/>
      <w:sz w:val="30"/>
      <w:szCs w:val="30"/>
      <w:lang w:eastAsia="en-US"/>
    </w:rPr>
  </w:style>
  <w:style w:type="character" w:styleId="1199" w:customStyle="1">
    <w:name w:val="正文首行缩进 Char"/>
    <w:link w:val="1198"/>
    <w:uiPriority w:val="0"/>
    <w:qFormat/>
    <w:rPr>
      <w:rFonts w:ascii="仿宋_GB2312" w:hAnsi="Times New Roman" w:eastAsia="仿宋_GB2312" w:cs="Times New Roman"/>
      <w:sz w:val="30"/>
      <w:szCs w:val="30"/>
      <w:lang w:eastAsia="en-US"/>
    </w:rPr>
  </w:style>
  <w:style w:type="paragraph" w:styleId="1200" w:customStyle="1">
    <w:name w:val="正文首行缩进 21"/>
    <w:basedOn w:val="1165"/>
    <w:link w:val="1201"/>
    <w:uiPriority w:val="0"/>
    <w:qFormat/>
    <w:pPr>
      <w:ind w:firstLine="420"/>
      <w:spacing w:line="360" w:lineRule="auto"/>
    </w:pPr>
    <w:rPr>
      <w:rFonts w:ascii="宋体" w:hAnsi="宋体" w:eastAsia="宋体"/>
      <w:szCs w:val="20"/>
    </w:rPr>
  </w:style>
  <w:style w:type="character" w:styleId="1201" w:customStyle="1">
    <w:name w:val="正文首行缩进 2 Char"/>
    <w:link w:val="1200"/>
    <w:uiPriority w:val="0"/>
    <w:qFormat/>
    <w:rPr>
      <w:rFonts w:ascii="宋体" w:hAnsi="宋体" w:eastAsia="宋体" w:cs="Times New Roman"/>
      <w:sz w:val="32"/>
      <w:lang w:eastAsia="en-US"/>
    </w:rPr>
  </w:style>
  <w:style w:type="character" w:styleId="1202" w:customStyle="1">
    <w:name w:val="要点1"/>
    <w:uiPriority w:val="0"/>
    <w:qFormat/>
    <w:rPr>
      <w:b/>
      <w:bCs/>
    </w:rPr>
  </w:style>
  <w:style w:type="character" w:styleId="1203" w:customStyle="1">
    <w:name w:val="页码1"/>
    <w:uiPriority w:val="0"/>
    <w:qFormat/>
  </w:style>
  <w:style w:type="character" w:styleId="1204" w:customStyle="1">
    <w:name w:val="已访问的超链接1"/>
    <w:uiPriority w:val="0"/>
    <w:qFormat/>
    <w:rPr>
      <w:color w:val="800080"/>
      <w:u w:val="single"/>
    </w:rPr>
  </w:style>
  <w:style w:type="character" w:styleId="1205" w:customStyle="1">
    <w:name w:val="HTML 打字机1"/>
    <w:uiPriority w:val="99"/>
    <w:qFormat/>
    <w:rPr>
      <w:rFonts w:ascii="宋体" w:hAnsi="宋体" w:eastAsia="宋体" w:cs="宋体"/>
      <w:sz w:val="24"/>
      <w:szCs w:val="24"/>
    </w:rPr>
  </w:style>
  <w:style w:type="character" w:styleId="1206" w:customStyle="1">
    <w:name w:val="超链接1"/>
    <w:uiPriority w:val="0"/>
    <w:qFormat/>
    <w:rPr>
      <w:color w:val="0000ff"/>
      <w:u w:val="single"/>
    </w:rPr>
  </w:style>
  <w:style w:type="character" w:styleId="1207" w:customStyle="1">
    <w:name w:val="二级目录 Char"/>
    <w:link w:val="1208"/>
    <w:uiPriority w:val="0"/>
    <w:qFormat/>
    <w:rPr>
      <w:b/>
      <w:sz w:val="30"/>
      <w:szCs w:val="28"/>
    </w:rPr>
  </w:style>
  <w:style w:type="paragraph" w:styleId="1208" w:customStyle="1">
    <w:name w:val="二级目录"/>
    <w:next w:val="811"/>
    <w:link w:val="1207"/>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209" w:customStyle="1">
    <w:name w:val="Body Text(ch)"/>
    <w:basedOn w:val="811"/>
    <w:next w:val="1163"/>
    <w:uiPriority w:val="0"/>
    <w:qFormat/>
    <w:pPr>
      <w:spacing w:after="120"/>
    </w:pPr>
    <w:rPr>
      <w:rFonts w:ascii="宋体" w:hAnsi="Arial" w:eastAsia="宋体"/>
      <w:bCs/>
      <w:iCs/>
      <w:szCs w:val="24"/>
    </w:rPr>
  </w:style>
  <w:style w:type="paragraph" w:styleId="1210" w:customStyle="1">
    <w:name w:val="Char"/>
    <w:basedOn w:val="811"/>
    <w:uiPriority w:val="0"/>
    <w:qFormat/>
    <w:pPr>
      <w:ind w:firstLine="200"/>
      <w:tabs>
        <w:tab w:val="left" w:pos="360" w:leader="none"/>
      </w:tabs>
    </w:pPr>
    <w:rPr>
      <w:rFonts w:ascii="Times New Roman" w:hAnsi="Times New Roman" w:eastAsia="宋体"/>
      <w:sz w:val="28"/>
      <w:szCs w:val="30"/>
    </w:rPr>
  </w:style>
  <w:style w:type="paragraph" w:styleId="1211" w:customStyle="1">
    <w:name w:val="普通正文"/>
    <w:basedOn w:val="811"/>
    <w:uiPriority w:val="0"/>
    <w:qFormat/>
    <w:pPr>
      <w:ind w:firstLine="480"/>
      <w:jc w:val="left"/>
      <w:spacing w:before="120" w:after="120" w:line="360" w:lineRule="auto"/>
    </w:pPr>
    <w:rPr>
      <w:rFonts w:ascii="Arial" w:hAnsi="Arial" w:eastAsia="宋体"/>
      <w:sz w:val="24"/>
      <w:szCs w:val="24"/>
    </w:rPr>
  </w:style>
  <w:style w:type="paragraph" w:styleId="1212" w:customStyle="1">
    <w:name w:val="table_lines"/>
    <w:basedOn w:val="811"/>
    <w:uiPriority w:val="0"/>
    <w:qFormat/>
    <w:pPr>
      <w:jc w:val="left"/>
      <w:widowControl/>
    </w:pPr>
    <w:rPr>
      <w:rFonts w:ascii="Times New Roman" w:hAnsi="Times New Roman" w:eastAsia="宋体"/>
      <w:sz w:val="20"/>
      <w:szCs w:val="20"/>
      <w:lang w:val="de-DE" w:eastAsia="de-DE"/>
    </w:rPr>
  </w:style>
  <w:style w:type="paragraph" w:styleId="121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14" w:customStyle="1">
    <w:name w:val="列出段落21"/>
    <w:basedOn w:val="811"/>
    <w:uiPriority w:val="99"/>
    <w:qFormat/>
    <w:pPr>
      <w:contextualSpacing/>
      <w:ind w:left="720"/>
      <w:jc w:val="left"/>
      <w:widowControl/>
    </w:pPr>
    <w:rPr>
      <w:rFonts w:eastAsia="宋体"/>
      <w:sz w:val="24"/>
      <w:szCs w:val="24"/>
      <w:lang w:eastAsia="en-US" w:bidi="en-US"/>
    </w:rPr>
  </w:style>
  <w:style w:type="paragraph" w:styleId="1215" w:customStyle="1">
    <w:name w:val="4"/>
    <w:basedOn w:val="811"/>
    <w:next w:val="1187"/>
    <w:uiPriority w:val="0"/>
    <w:qFormat/>
    <w:pPr>
      <w:ind w:firstLine="420"/>
      <w:spacing w:line="360" w:lineRule="auto"/>
    </w:pPr>
    <w:rPr>
      <w:rFonts w:ascii="Times New Roman" w:hAnsi="Times New Roman" w:eastAsia="宋体"/>
      <w:color w:val="ff0000"/>
      <w:sz w:val="24"/>
      <w:szCs w:val="24"/>
    </w:rPr>
  </w:style>
  <w:style w:type="paragraph" w:styleId="1216" w:customStyle="1">
    <w:name w:val="普通 (Web)"/>
    <w:basedOn w:val="811"/>
    <w:uiPriority w:val="0"/>
    <w:qFormat/>
    <w:pPr>
      <w:jc w:val="left"/>
      <w:spacing w:before="100" w:beforeAutospacing="1" w:after="100" w:afterAutospacing="1"/>
      <w:widowControl/>
    </w:pPr>
    <w:rPr>
      <w:rFonts w:ascii="宋体" w:hAnsi="宋体" w:eastAsia="宋体"/>
      <w:sz w:val="24"/>
      <w:szCs w:val="24"/>
    </w:rPr>
  </w:style>
  <w:style w:type="paragraph" w:styleId="1217" w:customStyle="1">
    <w:name w:val="Char Char Char Char Char Char Char Char Char Char"/>
    <w:basedOn w:val="811"/>
    <w:uiPriority w:val="0"/>
    <w:qFormat/>
    <w:pPr>
      <w:spacing w:line="360" w:lineRule="auto"/>
    </w:pPr>
    <w:rPr>
      <w:rFonts w:ascii="Times New Roman" w:hAnsi="Times New Roman" w:eastAsia="宋体"/>
      <w:sz w:val="24"/>
      <w:szCs w:val="20"/>
    </w:rPr>
  </w:style>
  <w:style w:type="paragraph" w:styleId="1218" w:customStyle="1">
    <w:name w:val="样式1"/>
    <w:basedOn w:val="811"/>
    <w:uiPriority w:val="0"/>
    <w:qFormat/>
    <w:pPr>
      <w:numPr>
        <w:ilvl w:val="0"/>
        <w:numId w:val="5"/>
      </w:numPr>
    </w:pPr>
    <w:rPr>
      <w:rFonts w:ascii="宋体" w:hAnsi="宋体" w:eastAsia="宋体"/>
      <w:szCs w:val="21"/>
    </w:rPr>
  </w:style>
  <w:style w:type="paragraph" w:styleId="1219" w:customStyle="1">
    <w:name w:val="图标"/>
    <w:basedOn w:val="811"/>
    <w:next w:val="81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0" w:customStyle="1">
    <w:name w:val="标题3"/>
    <w:basedOn w:val="811"/>
    <w:next w:val="811"/>
    <w:uiPriority w:val="0"/>
    <w:qFormat/>
    <w:pPr>
      <w:ind w:firstLine="624"/>
      <w:spacing w:line="590" w:lineRule="atLeast"/>
    </w:pPr>
    <w:rPr>
      <w:rFonts w:ascii="方正黑体_GBK" w:hAnsi="Times New Roman" w:eastAsia="方正黑体_GBK"/>
      <w:sz w:val="32"/>
      <w:szCs w:val="32"/>
    </w:rPr>
  </w:style>
  <w:style w:type="paragraph" w:styleId="1221" w:customStyle="1">
    <w:name w:val="Char Char Char Char Char Char Char Char"/>
    <w:basedOn w:val="811"/>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table_1stline"/>
    <w:basedOn w:val="811"/>
    <w:uiPriority w:val="0"/>
    <w:qFormat/>
    <w:pPr>
      <w:jc w:val="left"/>
      <w:spacing w:before="120"/>
      <w:widowControl/>
    </w:pPr>
    <w:rPr>
      <w:rFonts w:ascii="Times New Roman" w:hAnsi="Times New Roman" w:eastAsia="宋体"/>
      <w:bCs/>
      <w:sz w:val="20"/>
      <w:szCs w:val="20"/>
      <w:lang w:val="de-DE" w:eastAsia="de-DE"/>
    </w:rPr>
  </w:style>
  <w:style w:type="paragraph" w:styleId="1223" w:customStyle="1">
    <w:name w:val="标题1"/>
    <w:basedOn w:val="811"/>
    <w:next w:val="81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4" w:customStyle="1">
    <w:name w:val="修订2"/>
    <w:uiPriority w:val="99"/>
    <w:semiHidden/>
    <w:qFormat/>
    <w:rPr>
      <w:rFonts w:ascii="Times New Roman" w:hAnsi="Times New Roman" w:eastAsia="宋体" w:cs="Times New Roman"/>
      <w:sz w:val="21"/>
      <w:szCs w:val="21"/>
      <w:lang w:val="en-US" w:eastAsia="zh-CN" w:bidi="ar-SA"/>
    </w:rPr>
  </w:style>
  <w:style w:type="paragraph" w:styleId="122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26" w:customStyle="1">
    <w:name w:val="目录 111"/>
    <w:basedOn w:val="811"/>
    <w:next w:val="811"/>
    <w:uiPriority w:val="39"/>
    <w:unhideWhenUsed/>
    <w:qFormat/>
    <w:pPr>
      <w:jc w:val="left"/>
      <w:spacing w:after="100" w:line="259" w:lineRule="auto"/>
      <w:widowControl/>
    </w:pPr>
    <w:rPr>
      <w:rFonts w:eastAsia="宋体"/>
      <w:sz w:val="22"/>
    </w:rPr>
  </w:style>
  <w:style w:type="table" w:styleId="1227" w:customStyle="1">
    <w:name w:val="网格型5"/>
    <w:basedOn w:val="822"/>
    <w:uiPriority w:val="0"/>
    <w:qFormat/>
    <w:pPr>
      <w:jc w:val="both"/>
      <w:widowControl w:val="off"/>
    </w:pPr>
    <w:tblPr/>
  </w:style>
  <w:style w:type="paragraph" w:styleId="1228" w:customStyle="1">
    <w:name w:val="a0"/>
    <w:basedOn w:val="811"/>
    <w:uiPriority w:val="0"/>
    <w:qFormat/>
    <w:pPr>
      <w:jc w:val="left"/>
      <w:spacing w:before="100" w:beforeAutospacing="1" w:after="100" w:afterAutospacing="1"/>
      <w:widowControl/>
    </w:pPr>
    <w:rPr>
      <w:rFonts w:ascii="宋体" w:hAnsi="宋体" w:cs="宋体"/>
    </w:rPr>
  </w:style>
  <w:style w:type="character" w:styleId="1229" w:customStyle="1">
    <w:name w:val="NormalCharacter1"/>
    <w:uiPriority w:val="0"/>
    <w:qFormat/>
  </w:style>
  <w:style w:type="paragraph" w:styleId="1230" w:customStyle="1">
    <w:name w:val="_Style 1"/>
    <w:basedOn w:val="811"/>
    <w:uiPriority w:val="34"/>
    <w:qFormat/>
    <w:pPr>
      <w:ind w:firstLine="420"/>
    </w:pPr>
  </w:style>
  <w:style w:type="paragraph" w:styleId="1231" w:customStyle="1">
    <w:name w:val="UserStyle_0"/>
    <w:basedOn w:val="811"/>
    <w:uiPriority w:val="0"/>
    <w:qFormat/>
    <w:pPr>
      <w:ind w:left="420" w:firstLine="420"/>
      <w:spacing w:after="120"/>
      <w:widowControl/>
    </w:pPr>
    <w:rPr>
      <w:rFonts w:ascii="Times New Roman" w:hAnsi="Times New Roman"/>
      <w:szCs w:val="20"/>
    </w:rPr>
  </w:style>
  <w:style w:type="paragraph" w:styleId="1232" w:customStyle="1">
    <w:name w:val="UserStyle_87"/>
    <w:basedOn w:val="811"/>
    <w:uiPriority w:val="0"/>
    <w:qFormat/>
    <w:pPr>
      <w:ind w:firstLine="420"/>
      <w:widowControl/>
    </w:pPr>
  </w:style>
  <w:style w:type="character" w:styleId="1233" w:customStyle="1">
    <w:name w:val="UserStyle_88"/>
    <w:uiPriority w:val="0"/>
    <w:qFormat/>
  </w:style>
  <w:style w:type="paragraph" w:styleId="1234" w:customStyle="1">
    <w:name w:val="BodyText1I21"/>
    <w:basedOn w:val="811"/>
    <w:uiPriority w:val="0"/>
    <w:qFormat/>
    <w:pPr>
      <w:ind w:left="420" w:firstLine="420"/>
      <w:spacing w:after="120"/>
    </w:pPr>
    <w:rPr>
      <w:rFonts w:ascii="Times New Roman" w:hAnsi="Times New Roman"/>
      <w:szCs w:val="20"/>
    </w:rPr>
  </w:style>
  <w:style w:type="paragraph" w:styleId="1235" w:customStyle="1">
    <w:name w:val="Table Text"/>
    <w:basedOn w:val="811"/>
    <w:uiPriority w:val="0"/>
    <w:semiHidden/>
    <w:qFormat/>
    <w:rPr>
      <w:rFonts w:ascii="宋体" w:hAnsi="宋体" w:eastAsia="宋体" w:cs="宋体"/>
      <w:sz w:val="24"/>
      <w:szCs w:val="24"/>
      <w:lang w:eastAsia="en-US"/>
    </w:rPr>
  </w:style>
  <w:style w:type="numbering" w:styleId="14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7449b527-a924-48f2-871e-8b1208e38fb1</errorID>
      <errorWord>做</errorWord>
      <group>L1_Word</group>
      <groupName>字词问题</groupName>
      <ability>L2_Typo</ability>
      <abilityName>字词错误</abilityName>
      <candidateList>
        <item>作</item>
      </candidateList>
      <explain>存在发音相同字词的误用。</explain>
      <paraID>25A24D20</paraID>
      <start>71</start>
      <end>72</end>
      <status>unmodified</status>
      <modifiedWord/>
      <trackRevisions>false</trackRevisions>
    </reviewItem>
    <reviewItem>
      <errorID>d023bbc5-af80-4991-97c8-6fa7d6c7df39</errorID>
      <errorWord>保持通讯畅通</errorWord>
      <group>L1_Word</group>
      <groupName>字词问题</groupName>
      <ability>L2_Typo</ability>
      <abilityName>字词错误</abilityName>
      <candidateList>
        <item>保持通信畅通</item>
      </candidateList>
      <explain/>
      <paraID>57A14E33</paraID>
      <start>17</start>
      <end>23</end>
      <status>unmodified</status>
      <modifiedWord/>
      <trackRevisions>false</trackRevisions>
    </reviewItem>
    <reviewItem>
      <errorID>c056f6c4-6237-4197-be96-ae7e1afddd46</errorID>
      <errorWord>&lt;</errorWord>
      <group>L1_Format</group>
      <groupName>格式问题</groupName>
      <ability>L2_HalfPunc</ability>
      <abilityName>全半角检查</abilityName>
      <candidateList>
        <item>〈</item>
      </candidateList>
      <explain>文本全半角错误。</explain>
      <paraID> E1A7BB4</paraID>
      <start>97</start>
      <end>98</end>
      <status>modified</status>
      <modifiedWord>〈</modifiedWord>
      <trackRevisions>false</trackRevisions>
    </reviewItem>
    <reviewItem>
      <errorID>d4a43b35-d130-453e-bd5c-eb6984deb590</errorID>
      <errorWord>&lt;</errorWord>
      <group>L1_Format</group>
      <groupName>格式问题</groupName>
      <ability>L2_HalfPunc</ability>
      <abilityName>全半角检查</abilityName>
      <candidateList>
        <item>〈</item>
      </candidateList>
      <explain>文本全半角错误。</explain>
      <paraID>6A4CD1E6</paraID>
      <start>49</start>
      <end>50</end>
      <status>modified</status>
      <modifiedWord>〈</modifiedWord>
      <trackRevisions>false</trackRevisions>
    </reviewItem>
    <reviewItem>
      <errorID>84ad7985-0455-49b9-9f6f-ebaa2bea018d</errorID>
      <errorWord>&lt;</errorWord>
      <group>L1_Format</group>
      <groupName>格式问题</groupName>
      <ability>L2_HalfPunc</ability>
      <abilityName>全半角检查</abilityName>
      <candidateList>
        <item>〈</item>
      </candidateList>
      <explain>文本全半角错误。</explain>
      <paraID>6F7241FC</paraID>
      <start>34</start>
      <end>35</end>
      <status>modified</status>
      <modifiedWord>〈</modifiedWord>
      <trackRevisions>false</trackRevisions>
    </reviewItem>
    <reviewItem>
      <errorID>48a1da0b-9845-4295-bc94-1b4de0427338</errorID>
      <errorWord>，</errorWord>
      <group>L1_Word</group>
      <groupName>字词问题</groupName>
      <ability>L2_Typo</ability>
      <abilityName>字词错误</abilityName>
      <candidateList>
        <item>，并</item>
      </candidateList>
      <explain/>
      <paraID>29F445DE</paraID>
      <start>122</start>
      <end>123</end>
      <status>unmodified</status>
      <modifiedWord/>
      <trackRevisions>false</trackRevisions>
    </reviewItem>
    <reviewItem>
      <errorID>5eef8e1c-8472-48bb-942e-16708f6c72f3</errorID>
      <errorWord>属</errorWord>
      <group>L1_Word</group>
      <groupName>字词问题</groupName>
      <ability>L2_Typo</ability>
      <abilityName>字词错误</abilityName>
      <candidateList>
        <item>属于</item>
      </candidateList>
      <explain/>
      <paraID>7D2509EB</paraID>
      <start>22</start>
      <end>23</end>
      <status>unmodified</status>
      <modifiedWord/>
      <trackRevisions>false</trackRevisions>
    </reviewItem>
    <reviewItem>
      <errorID>89d40a74-6e65-4dbb-968d-db84791f4152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295E291</paraID>
      <start>0</start>
      <end>2</end>
      <status>unmodified</status>
      <modifiedWord/>
      <trackRevisions>false</trackRevisions>
    </reviewItem>
    <reviewItem>
      <errorID>6c92351e-4d9d-4eaa-a625-68cc92d1a4a5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4E6E2A08</paraID>
      <start>0</start>
      <end>2</end>
      <status>unmodified</status>
      <modifiedWord/>
      <trackRevisions>false</trackRevisions>
    </reviewItem>
    <reviewItem>
      <errorID>8adebd8b-aaf5-4281-b629-44d34c3049ea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60FC7C0A</paraID>
      <start>0</start>
      <end>2</end>
      <status>unmodified</status>
      <modifiedWord/>
      <trackRevisions>false</trackRevisions>
    </reviewItem>
    <reviewItem>
      <errorID>c59d25df-fda4-4815-a7c6-46764f64b8f8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71E3A705</paraID>
      <start>0</start>
      <end>2</end>
      <status>unmodified</status>
      <modifiedWord/>
      <trackRevisions>false</trackRevisions>
    </reviewItem>
    <reviewItem>
      <errorID>940a5466-b8bf-45df-94d0-b882efe6b4f4</errorID>
      <errorWord>交纳</errorWord>
      <group>L1_Word</group>
      <groupName>字词问题</groupName>
      <ability>L2_Typo</ability>
      <abilityName>字词错误</abilityName>
      <candidateList>
        <item>缴纳</item>
      </candidateList>
      <explain>〈动〉交纳：～税款。</explain>
      <paraID>79A49231</paraID>
      <start>66</start>
      <end>68</end>
      <status>unmodified</status>
      <modifiedWord/>
      <trackRevisions>false</trackRevisions>
    </reviewItem>
    <reviewItem>
      <errorID>0ca5e215-780e-407e-985d-5c616234c132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4824A52C</paraID>
      <start>0</start>
      <end>2</end>
      <status>unmodified</status>
      <modifiedWord/>
      <trackRevisions>false</trackRevisions>
    </reviewItem>
    <reviewItem>
      <errorID>cf42758e-4f20-4523-9ef1-ada5d5f357e1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1E3D30C4</paraID>
      <start>0</start>
      <end>2</end>
      <status>unmodified</status>
      <modifiedWord/>
      <trackRevisions>false</trackRevisions>
    </reviewItem>
    <reviewItem>
      <errorID>22ccacc1-e13f-42fc-a00b-6795871ec807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2B8BF0B7</paraID>
      <start>0</start>
      <end>2</end>
      <status>unmodified</status>
      <modifiedWord/>
      <trackRevisions>false</trackRevisions>
    </reviewItem>
    <reviewItem>
      <errorID>bdcabd46-16e7-48ea-9085-2475722ffcac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15C0A4F9</paraID>
      <start>0</start>
      <end>2</end>
      <status>unmodified</status>
      <modifiedWord/>
      <trackRevisions>false</trackRevisions>
    </reviewItem>
    <reviewItem>
      <errorID>5731b37d-1bb8-4b39-a0ff-8e8de589e065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3ACE35E4</paraID>
      <start>0</start>
      <end>2</end>
      <status>unmodified</status>
      <modifiedWord/>
      <trackRevisions>false</trackRevisions>
    </reviewItem>
    <reviewItem>
      <errorID>370ed98d-a828-489d-a27d-856380c6c29e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A43DBEC</paraID>
      <start>0</start>
      <end>3</end>
      <status>unmodified</status>
      <modifiedWord/>
      <trackRevisions>false</trackRevisions>
    </reviewItem>
    <reviewItem>
      <errorID>d460c1ab-623d-4428-a404-549e5110adf9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1C0C9F75</paraID>
      <start>0</start>
      <end>3</end>
      <status>unmodified</status>
      <modifiedWord/>
      <trackRevisions>false</trackRevisions>
    </reviewItem>
    <reviewItem>
      <errorID>95caf994-f4de-4d77-b504-1e95ddb76bdd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5FAAB31B</paraID>
      <start>0</start>
      <end>3</end>
      <status>unmodified</status>
      <modifiedWord/>
      <trackRevisions>false</trackRevisions>
    </reviewItem>
    <reviewItem>
      <errorID>5ca6d307-4939-4421-a746-0ff56c8d009d</errorID>
      <errorWord>应</errorWord>
      <group>L1_Word</group>
      <groupName>字词问题</groupName>
      <ability>L2_Typo</ability>
      <abilityName>字词错误</abilityName>
      <candidateList>
        <item>应当</item>
      </candidateList>
      <explain/>
      <paraID> 31AEFDA</paraID>
      <start>71</start>
      <end>72</end>
      <status>unmodified</status>
      <modifiedWord/>
      <trackRevisions>false</trackRevisions>
    </reviewItem>
    <reviewItem>
      <errorID>7996bc77-de98-4d20-9d92-0160bcc68878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56B8751D</paraID>
      <start>120</start>
      <end>121</end>
      <status>modified</status>
      <modifiedWord>—</modifiedWord>
      <trackRevisions>false</trackRevisions>
    </reviewItem>
    <reviewItem>
      <errorID>699aff54-75df-4a55-9ee1-b1b17a006680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56B8751D</paraID>
      <start>126</start>
      <end>127</end>
      <status>unmodified</status>
      <modifiedWord/>
      <trackRevisions>false</trackRevisions>
    </reviewItem>
    <reviewItem>
      <errorID>3db0e162-81da-46ee-a171-513350e701ac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FACB2A</paraID>
      <start>0</start>
      <end>2</end>
      <status>unmodified</status>
      <modifiedWord/>
      <trackRevisions>false</trackRevisions>
    </reviewItem>
    <reviewItem>
      <errorID>c6aa9390-2789-4eb0-9ce4-968564a64253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776BC0BC</paraID>
      <start>0</start>
      <end>2</end>
      <status>unmodified</status>
      <modifiedWord/>
      <trackRevisions>false</trackRevisions>
    </reviewItem>
    <reviewItem>
      <errorID>523c664d-e6db-40e1-b1a7-f16b6896bc0c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2125D83A</paraID>
      <start>0</start>
      <end>2</end>
      <status>unmodified</status>
      <modifiedWord/>
      <trackRevisions>false</trackRevisions>
    </reviewItem>
    <reviewItem>
      <errorID>45d05118-e30c-4314-968d-22baf0cc591d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1D738781</paraID>
      <start>0</start>
      <end>2</end>
      <status>unmodified</status>
      <modifiedWord/>
      <trackRevisions>false</trackRevisions>
    </reviewItem>
    <reviewItem>
      <errorID>d62f735d-eff0-47bc-9dda-bd083d5e2fee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246B02F</paraID>
      <start>0</start>
      <end>2</end>
      <status>unmodified</status>
      <modifiedWord/>
      <trackRevisions>false</trackRevisions>
    </reviewItem>
    <reviewItem>
      <errorID>0d762167-8933-43cd-ae32-d560ed97e7dd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42E26168</paraID>
      <start>0</start>
      <end>2</end>
      <status>unmodified</status>
      <modifiedWord/>
      <trackRevisions>false</trackRevisions>
    </reviewItem>
    <reviewItem>
      <errorID>647e4656-005b-446e-a2d5-c46af509d9da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123C247D</paraID>
      <start>0</start>
      <end>2</end>
      <status>unmodified</status>
      <modifiedWord/>
      <trackRevisions>false</trackRevisions>
    </reviewItem>
    <reviewItem>
      <errorID>16f76fba-e30c-4812-ab0b-bd0310d83515</errorID>
      <errorWord>WiFi</errorWord>
      <group>L1_Punc</group>
      <groupName>标点问题</groupName>
      <ability>L2_Punc</ability>
      <abilityName>标点符号检查</abilityName>
      <candidateList>
        <item>Wi-Fi</item>
      </candidateList>
      <explain/>
      <paraID>2810874E</paraID>
      <start>40</start>
      <end>45</end>
      <status>modified</status>
      <modifiedWord>Wi-Fi</modifiedWord>
      <trackRevisions>false</trackRevisions>
    </reviewItem>
    <reviewItem>
      <errorID>55d9cba2-a5fb-4fa6-8f23-9e83adcc6bb7</errorID>
      <errorWord>噪音</errorWord>
      <group>L1_Word</group>
      <groupName>字词问题</groupName>
      <ability>L2_Alias</ability>
      <abilityName>也作/曾用词</abilityName>
      <candidateList>
        <item>噪声</item>
      </candidateList>
      <explain>词汇[噪音]为不规范表述或旧称，其规范书面表述为[噪声]。</explain>
      <paraID>3252883B</paraID>
      <start>138</start>
      <end>140</end>
      <status>unmodified</status>
      <modifiedWord/>
      <trackRevisions>false</trackRevisions>
    </reviewItem>
    <reviewItem>
      <errorID>4c2fbbcf-ee73-4438-aab6-a1834f2571c7</errorID>
      <errorWord>)</errorWord>
      <group>L1_Format</group>
      <groupName>格式问题</groupName>
      <ability>L2_HalfPunc</ability>
      <abilityName>全半角检查</abilityName>
      <candidateList>
        <item>）</item>
      </candidateList>
      <explain>文本全半角错误。</explain>
      <paraID>2939AF05</paraID>
      <start>51</start>
      <end>52</end>
      <status>modified</status>
      <modifiedWord>）</modifiedWord>
      <trackRevisions>false</trackRevisions>
    </reviewItem>
    <reviewItem>
      <errorID>422029b2-824f-4a61-9e09-7776c76d9c3b</errorID>
      <errorWord>)</errorWord>
      <group>L1_Format</group>
      <groupName>格式问题</groupName>
      <ability>L2_HalfPunc</ability>
      <abilityName>全半角检查</abilityName>
      <candidateList>
        <item>）</item>
      </candidateList>
      <explain>文本全半角错误。</explain>
      <paraID>2939AF05</paraID>
      <start>72</start>
      <end>73</end>
      <status>modified</status>
      <modifiedWord>）</modifiedWord>
      <trackRevisions>false</trackRevisions>
    </reviewItem>
    <reviewItem>
      <errorID>99f8ead2-fa9b-49bf-a13b-64a7c04c9d70</errorID>
      <errorWord>)</errorWord>
      <group>L1_Format</group>
      <groupName>格式问题</groupName>
      <ability>L2_HalfPunc</ability>
      <abilityName>全半角检查</abilityName>
      <candidateList>
        <item>）</item>
      </candidateList>
      <explain>文本全半角错误。</explain>
      <paraID>2939AF05</paraID>
      <start>90</start>
      <end>91</end>
      <status>modified</status>
      <modifiedWord>）</modifiedWord>
      <trackRevisions>false</trackRevisions>
    </reviewItem>
    <reviewItem>
      <errorID>3b0c17e8-5fd4-4763-a4b8-b5cba703cc41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224E84A0</paraID>
      <start>12</start>
      <end>13</end>
      <status>modified</status>
      <modifiedWord>—</modifiedWord>
      <trackRevisions>false</trackRevisions>
    </reviewItem>
    <reviewItem>
      <errorID>b66c41c7-c6a6-46b0-8ae1-9aeda12143c6</errorID>
      <errorWord>外型尺寸</errorWord>
      <group>L1_Word</group>
      <groupName>字词问题</groupName>
      <ability>L2_Typo</ability>
      <abilityName>字词错误</abilityName>
      <candidateList>
        <item>外形尺寸</item>
      </candidateList>
      <explain/>
      <paraID>7BD6D88C</paraID>
      <start>3</start>
      <end>7</end>
      <status>unmodified</status>
      <modifiedWord/>
      <trackRevisions>false</trackRevisions>
    </reviewItem>
    <reviewItem>
      <errorID>932629ae-027e-4b15-a6d9-3f9d9d824578</errorID>
      <errorWord>噪音</errorWord>
      <group>L1_Word</group>
      <groupName>字词问题</groupName>
      <ability>L2_Alias</ability>
      <abilityName>也作/曾用词</abilityName>
      <candidateList>
        <item>噪声</item>
      </candidateList>
      <explain>词汇[噪音]为不规范表述或旧称，其规范书面表述为[噪声]。</explain>
      <paraID>7364E036</paraID>
      <start>12</start>
      <end>14</end>
      <status>unmodified</status>
      <modifiedWord/>
      <trackRevisions>false</trackRevisions>
    </reviewItem>
    <reviewItem>
      <errorID>35fdea62-fbeb-4a24-876b-3782d8112fe4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4B006DA</paraID>
      <start>0</start>
      <end>2</end>
      <status>unmodified</status>
      <modifiedWord/>
      <trackRevisions>false</trackRevisions>
    </reviewItem>
    <reviewItem>
      <errorID>cb7856e1-0469-43d6-8fb7-4c6d0a6e525d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28B93680</paraID>
      <start>0</start>
      <end>2</end>
      <status>unmodified</status>
      <modifiedWord/>
      <trackRevisions>false</trackRevisions>
    </reviewItem>
    <reviewItem>
      <errorID>6518afce-60c6-4fb5-a7d1-fc7156c68417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9E8C196</paraID>
      <start>23</start>
      <end>24</end>
      <status>modified</status>
      <modifiedWord>—</modifiedWord>
      <trackRevisions>false</trackRevisions>
    </reviewItem>
    <reviewItem>
      <errorID>bb9f8bba-a472-4990-ad7a-7822cecdbf60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12335EC5</paraID>
      <start>14</start>
      <end>15</end>
      <status>modified</status>
      <modifiedWord>—</modifiedWord>
      <trackRevisions>false</trackRevisions>
    </reviewItem>
    <reviewItem>
      <errorID>47c5810c-c8b1-4d12-96e6-075340362982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603F4F2E</paraID>
      <start>14</start>
      <end>15</end>
      <status>modified</status>
      <modifiedWord>—</modifiedWord>
      <trackRevisions>false</trackRevisions>
    </reviewItem>
    <reviewItem>
      <errorID>76e87070-31e4-4ebd-8224-b33b05d7b612</errorID>
      <errorWord>及时而</errorWord>
      <group>L1_Word</group>
      <groupName>字词问题</groupName>
      <ability>L2_Typo</ability>
      <abilityName>字词错误</abilityName>
      <candidateList>
        <item>及时</item>
      </candidateList>
      <explain>❶〈形〉正赶上时候；适合需要：～雨｜他来得很～。❷〈副〉不拖延；马上；立刻：有问题就～解决。</explain>
      <paraID>7EA48F16</paraID>
      <start>8</start>
      <end>11</end>
      <status>unmodified</status>
      <modifiedWord/>
      <trackRevisions>false</trackRevisions>
    </reviewItem>
    <reviewItem>
      <errorID>d95d7fcf-943b-47f3-8204-dc307713cda0</errorID>
      <errorWord>&gt;</errorWord>
      <group>L1_Format</group>
      <groupName>格式问题</groupName>
      <ability>L2_HalfPunc</ability>
      <abilityName>全半角检查</abilityName>
      <candidateList>
        <item>〉</item>
      </candidateList>
      <explain>文本全半角错误。</explain>
      <paraID>17D5209D</paraID>
      <start>8</start>
      <end>9</end>
      <status>modified</status>
      <modifiedWord>〉</modifiedWord>
      <trackRevisions>false</trackRevisions>
    </reviewItem>
    <reviewItem>
      <errorID>94a0fa9a-c530-40d4-af85-9745b9def4e5</errorID>
      <errorWord>&gt;</errorWord>
      <group>L1_Format</group>
      <groupName>格式问题</groupName>
      <ability>L2_HalfPunc</ability>
      <abilityName>全半角检查</abilityName>
      <candidateList>
        <item>〉</item>
      </candidateList>
      <explain>文本全半角错误。</explain>
      <paraID>709A3F5B</paraID>
      <start>7</start>
      <end>8</end>
      <status>modified</status>
      <modifiedWord>〉</modifiedWord>
      <trackRevisions>false</trackRevisions>
    </reviewItem>
    <reviewItem>
      <errorID>33d8ee26-637c-47fd-a688-3b6e35cb0aad</errorID>
      <errorWord>&gt;</errorWord>
      <group>L1_Format</group>
      <groupName>格式问题</groupName>
      <ability>L2_HalfPunc</ability>
      <abilityName>全半角检查</abilityName>
      <candidateList>
        <item>〉</item>
      </candidateList>
      <explain>文本全半角错误。</explain>
      <paraID>67DC9D64</paraID>
      <start>7</start>
      <end>8</end>
      <status>modified</status>
      <modifiedWord>〉</modifiedWord>
      <trackRevisions>false</trackRevisions>
    </reviewItem>
    <reviewItem>
      <errorID>2d52d633-c0bc-4ca1-b893-670ec5fabb35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118</start>
      <end>121</end>
      <status>unmodified</status>
      <modifiedWord/>
      <trackRevisions>false</trackRevisions>
    </reviewItem>
    <reviewItem>
      <errorID>1696b0d3-4cd0-44f3-befe-4b55e82a21d7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123</start>
      <end>126</end>
      <status>unmodified</status>
      <modifiedWord/>
      <trackRevisions>false</trackRevisions>
    </reviewItem>
    <reviewItem>
      <errorID>0bdc3c49-61b5-4625-8ba6-a3d5a6a0588e</errorID>
      <errorWord>》</errorWord>
      <group>L1_Word</group>
      <groupName>字词问题</groupName>
      <ability>L2_Typo</ability>
      <abilityName>字词错误</abilityName>
      <candidateList>
        <item>》和</item>
      </candidateList>
      <explain/>
      <paraID> AD2D484</paraID>
      <start>129</start>
      <end>130</end>
      <status>unmodified</status>
      <modifiedWord/>
      <trackRevisions>false</trackRevisions>
    </reviewItem>
    <reviewItem>
      <errorID>223d5908-2ef8-4cb7-9667-04536831fe17</errorID>
      <errorWord>》</errorWord>
      <group>L1_Word</group>
      <groupName>字词问题</groupName>
      <ability>L2_Typo</ability>
      <abilityName>字词错误</abilityName>
      <candidateList>
        <item>》等</item>
      </candidateList>
      <explain/>
      <paraID> AD2D484</paraID>
      <start>156</start>
      <end>157</end>
      <status>unmodified</status>
      <modifiedWord/>
      <trackRevisions>false</trackRevisions>
    </reviewItem>
    <reviewItem>
      <errorID>ce33c058-6b8a-4063-8d60-fb0cbc1d6671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5E081272</paraID>
      <start>0</start>
      <end>2</end>
      <status>unmodified</status>
      <modifiedWord/>
      <trackRevisions>false</trackRevisions>
    </reviewItem>
    <reviewItem>
      <errorID>bfae56b0-da10-4433-87db-5ebaa2039377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311C159B</paraID>
      <start>0</start>
      <end>2</end>
      <status>unmodified</status>
      <modifiedWord/>
      <trackRevisions>false</trackRevisions>
    </reviewItem>
    <reviewItem>
      <errorID>8866ebe2-906b-4240-bfe2-0570e7891b1e</errorID>
      <errorWord>-</errorWord>
      <group>L1_Format</group>
      <groupName>格式问题</groupName>
      <ability>L2_HalfPunc</ability>
      <abilityName>全半角检查</abilityName>
      <candidateList>
        <item>－</item>
      </candidateList>
      <explain>文本全半角错误。</explain>
      <paraID>630D7E4A</paraID>
      <start>117</start>
      <end>118</end>
      <status>unmodified</status>
      <modifiedWord/>
      <trackRevisions>false</trackRevisions>
    </reviewItem>
    <reviewItem>
      <errorID>aabcbc34-2486-4e41-a3c0-517bc4c4539e</errorID>
      <errorWord>出具带</errorWord>
      <group>L1_Word</group>
      <groupName>字词问题</groupName>
      <ability>L2_Typo</ability>
      <abilityName>字词错误</abilityName>
      <candidateList>
        <item>出具</item>
      </candidateList>
      <explain>〈动〉开出；写出（证明、证件等）：～介绍信｜～健康证明。</explain>
      <paraID>7BAAE028</paraID>
      <start>96</start>
      <end>98</end>
      <status>modified</status>
      <modifiedWord>出具</modifiedWord>
      <trackRevisions>false</trackRevisions>
    </reviewItem>
    <reviewItem>
      <errorID>8762cea5-3c39-45bb-9565-0d3d85a11ee8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4C5ED0AC</paraID>
      <start>0</start>
      <end>2</end>
      <status>unmodified</status>
      <modifiedWord/>
      <trackRevisions>false</trackRevisions>
    </reviewItem>
    <reviewItem>
      <errorID>2a199ee3-a641-4b8f-99a6-71cf63eccf98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5DFC25A6</paraID>
      <start>0</start>
      <end>2</end>
      <status>unmodified</status>
      <modifiedWord/>
      <trackRevisions>false</trackRevisions>
    </reviewItem>
    <reviewItem>
      <errorID>af6c4206-0d5a-4034-b60b-7b83bb3ebfe1</errorID>
      <errorWord>政府采购法实施条例释义</errorWord>
      <group>L1_Other</group>
      <groupName>其他问题</groupName>
      <ability>L2_UserTypo</ability>
      <abilityName>自定义错误</abilityName>
      <candidateList>
        <item>中华人民共和国</item>
      </candidateList>
      <explain>来自自定义错词库。</explain>
      <paraID>30432144</paraID>
      <start>10</start>
      <end>21</end>
      <status>unmodified</status>
      <modifiedWord/>
      <trackRevisions>false</trackRevisions>
    </reviewItem>
    <reviewItem>
      <errorID>3b6c4fef-b748-44ac-949f-1e1977ae6770</errorID>
      <errorWord>按《中华人民共和国</errorWord>
      <group>L1_Political</group>
      <groupName>政治性问题</groupName>
      <ability>L2_Unpolitical</ability>
      <abilityName>政治敏感错误</abilityName>
      <candidateList>
        <item>按照《中华人民共和国</item>
      </candidateList>
      <explain/>
      <paraID>17E380C3</paraID>
      <start>22</start>
      <end>31</end>
      <status>unmodified</status>
      <modifiedWord/>
      <trackRevisions>false</trackRevisions>
    </reviewItem>
    <reviewItem>
      <errorID>629b12d0-8034-4fea-800e-390070babf3d</errorID>
      <errorWord>进一步加强对</errorWord>
      <group>L1_Word</group>
      <groupName>字词问题</groupName>
      <ability>L2_Typo</ability>
      <abilityName>字词错误</abilityName>
      <candidateList>
        <item>进一步加强</item>
      </candidateList>
      <explain/>
      <paraID>4CB468F7</paraID>
      <start>5</start>
      <end>11</end>
      <status>unmodified</status>
      <modifiedWord/>
      <trackRevisions>false</trackRevisions>
    </reviewItem>
    <reviewItem>
      <errorID>09c67f03-4d25-4e0f-9b81-a77115ccbd85</errorID>
      <errorWord>特制订本办法</errorWord>
      <group>L1_Word</group>
      <groupName>字词问题</groupName>
      <ability>L2_Typo</ability>
      <abilityName>字词错误</abilityName>
      <candidateList>
        <item>特制定本办法</item>
      </candidateList>
      <explain/>
      <paraID>4CB468F7</paraID>
      <start>173</start>
      <end>179</end>
      <status>unmodified</status>
      <modifiedWord/>
      <trackRevisions>false</trackRevisions>
    </reviewItem>
    <reviewItem>
      <errorID>17b65b60-14d3-467a-a07b-21c0f3e418dc</errorID>
      <errorWord>《药品管理法》</errorWord>
      <group>L1_Word</group>
      <groupName>字词问题</groupName>
      <ability>L2_Typo</ability>
      <abilityName>字词错误</abilityName>
      <candidateList>
        <item>《中华人民共和国药品管理法》</item>
      </candidateList>
      <explain/>
      <paraID>23996E43</paraID>
      <start>14</start>
      <end>21</end>
      <status>unmodified</status>
      <modifiedWord/>
      <trackRevisions>false</trackRevisions>
    </reviewItem>
    <reviewItem>
      <errorID>0f1f89f3-d4dd-4a89-8ac9-72602aa19435</errorID>
      <errorWord>二次</errorWord>
      <group>L1_Word</group>
      <groupName>字词问题</groupName>
      <ability>L2_Typo</ability>
      <abilityName>字词错误</abilityName>
      <candidateList>
        <item>两次</item>
      </candidateList>
      <explain/>
      <paraID>4E7B6D69</paraID>
      <start>139</start>
      <end>141</end>
      <status>unmodified</status>
      <modifiedWord/>
      <trackRevisions>false</trackRevisions>
    </reviewItem>
    <reviewItem>
      <errorID>87e2e3b9-1af4-4b85-b3cf-a1b5d15214d3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7F6AC5F5</paraID>
      <start>0</start>
      <end>2</end>
      <status>unmodified</status>
      <modifiedWord/>
      <trackRevisions>false</trackRevisions>
    </reviewItem>
    <reviewItem>
      <errorID>2cc25d3f-f905-4bad-8ed6-17257cbfa71b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2711FD9A</paraID>
      <start>0</start>
      <end>2</end>
      <status>unmodified</status>
      <modifiedWord/>
      <trackRevisions>false</trackRevisions>
    </reviewItem>
    <reviewItem>
      <errorID>02a73481-3e55-4764-a72f-cc4690750b4e</errorID>
      <errorWord>）</errorWord>
      <group>L1_Word</group>
      <groupName>字词问题</groupName>
      <ability>L2_Typo</ability>
      <abilityName>字词错误</abilityName>
      <candidateList>
        <item>）是</item>
      </candidateList>
      <explain/>
      <paraID> 1354364</paraID>
      <start>8</start>
      <end>9</end>
      <status>unmodified</status>
      <modifiedWord/>
      <trackRevisions>false</trackRevisions>
    </reviewItem>
    <reviewItem>
      <errorID>e24624dc-c0a1-45f6-99f1-24599cd1a62c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615F544C</paraID>
      <start>0</start>
      <end>2</end>
      <status>unmodified</status>
      <modifiedWord/>
      <trackRevisions>false</trackRevisions>
    </reviewItem>
    <reviewItem>
      <errorID>f8ebb5ea-b858-44f8-9b6f-0c26fe43c3b5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425937C7</paraID>
      <start>0</start>
      <end>2</end>
      <status>unmodified</status>
      <modifiedWord/>
      <trackRevisions>false</trackRevisions>
    </reviewItem>
    <reviewItem>
      <errorID>f87feacb-b1a7-48de-82d1-9177cf12c006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23A34E04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8B3FCB4-5E87-400E-A358-687BE5E522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3</cp:revision>
  <dcterms:created xsi:type="dcterms:W3CDTF">2025-02-06T06:18:00Z</dcterms:created>
  <dcterms:modified xsi:type="dcterms:W3CDTF">2026-07-10T07:34:06Z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eyJoZGlkIjoiNjY5MDdiYTAzODFiY2Y2YzZkMTJmYWYwNmI2NmM2OWUiLCJ1c2VySWQiOiIyODIzODM1NDEifQ==</vt:lpwstr>
  </property>
  <property fmtid="{D5CDD505-2E9C-101B-9397-08002B2CF9AE}" pid="3" name="KSOProductBuildVer">
    <vt:lpwstr>2052-12.1.0.26375</vt:lpwstr>
  </property>
  <property fmtid="{D5CDD505-2E9C-101B-9397-08002B2CF9AE}" pid="4" name="ICV">
    <vt:lpwstr>F21E5C7E31D84CDAA39BEAD2A15386D0_13</vt:lpwstr>
  </property>
</Properties>
</file>